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4B6F" w:rsidRPr="00464B6F" w:rsidRDefault="00464B6F" w:rsidP="00464B6F">
      <w:pPr>
        <w:rPr>
          <w:rStyle w:val="a8"/>
          <w:lang w:val="en-US"/>
        </w:rPr>
      </w:pPr>
      <w:r>
        <w:rPr>
          <w:rStyle w:val="a8"/>
          <w:lang w:val="en-US"/>
        </w:rPr>
        <w:t>Internal Note</w:t>
      </w:r>
      <w:r>
        <w:rPr>
          <w:rStyle w:val="a8"/>
          <w:lang w:val="en-US"/>
        </w:rPr>
        <w:tab/>
      </w:r>
      <w:r>
        <w:rPr>
          <w:rStyle w:val="a8"/>
          <w:lang w:val="en-US"/>
        </w:rPr>
        <w:tab/>
      </w:r>
      <w:r>
        <w:rPr>
          <w:rStyle w:val="a8"/>
          <w:lang w:val="en-US"/>
        </w:rPr>
        <w:tab/>
      </w:r>
      <w:r>
        <w:rPr>
          <w:rStyle w:val="a8"/>
          <w:lang w:val="en-US"/>
        </w:rPr>
        <w:tab/>
        <w:t>Date: 2018-0</w:t>
      </w:r>
      <w:r w:rsidR="00A65729">
        <w:rPr>
          <w:rStyle w:val="a8"/>
          <w:lang w:val="en-US"/>
        </w:rPr>
        <w:t>8</w:t>
      </w:r>
      <w:r>
        <w:rPr>
          <w:rStyle w:val="a8"/>
          <w:lang w:val="en-US"/>
        </w:rPr>
        <w:t>-</w:t>
      </w:r>
      <w:r w:rsidR="00A65729">
        <w:rPr>
          <w:rStyle w:val="a8"/>
          <w:lang w:val="en-US"/>
        </w:rPr>
        <w:t>15</w:t>
      </w:r>
      <w:r>
        <w:rPr>
          <w:rStyle w:val="a8"/>
          <w:lang w:val="en-US"/>
        </w:rPr>
        <w:tab/>
      </w:r>
      <w:r>
        <w:rPr>
          <w:rStyle w:val="a8"/>
          <w:lang w:val="en-US"/>
        </w:rPr>
        <w:tab/>
      </w:r>
      <w:r>
        <w:rPr>
          <w:rStyle w:val="a8"/>
          <w:lang w:val="en-US"/>
        </w:rPr>
        <w:tab/>
      </w:r>
      <w:r>
        <w:rPr>
          <w:rStyle w:val="a8"/>
          <w:lang w:val="en-US"/>
        </w:rPr>
        <w:tab/>
        <w:t>Version: 0.</w:t>
      </w:r>
      <w:r w:rsidR="00A65729">
        <w:rPr>
          <w:rStyle w:val="a8"/>
          <w:lang w:val="en-US"/>
        </w:rPr>
        <w:t>1</w:t>
      </w:r>
    </w:p>
    <w:p w:rsidR="00851373" w:rsidRDefault="00A65729" w:rsidP="00272ACC">
      <w:pPr>
        <w:pStyle w:val="a3"/>
        <w:rPr>
          <w:lang w:val="en-US"/>
        </w:rPr>
      </w:pPr>
      <w:r>
        <w:rPr>
          <w:lang w:val="en-US"/>
        </w:rPr>
        <w:t xml:space="preserve">On electronic noise in the TPC </w:t>
      </w:r>
    </w:p>
    <w:p w:rsidR="00272ACC" w:rsidRDefault="00272ACC" w:rsidP="00272ACC">
      <w:pPr>
        <w:pStyle w:val="a5"/>
        <w:rPr>
          <w:lang w:val="en-US"/>
        </w:rPr>
      </w:pPr>
      <w:r>
        <w:rPr>
          <w:lang w:val="en-US"/>
        </w:rPr>
        <w:t xml:space="preserve">Alexey </w:t>
      </w:r>
      <w:proofErr w:type="spellStart"/>
      <w:r>
        <w:rPr>
          <w:lang w:val="en-US"/>
        </w:rPr>
        <w:t>Dzyuba</w:t>
      </w:r>
      <w:proofErr w:type="spellEnd"/>
      <w:r>
        <w:rPr>
          <w:lang w:val="en-US"/>
        </w:rPr>
        <w:t xml:space="preserve"> (PNPI)</w:t>
      </w:r>
    </w:p>
    <w:p w:rsidR="00272ACC" w:rsidRDefault="00464B6F" w:rsidP="00A65729">
      <w:pPr>
        <w:jc w:val="both"/>
        <w:rPr>
          <w:lang w:val="en-US"/>
        </w:rPr>
      </w:pPr>
      <w:r>
        <w:rPr>
          <w:lang w:val="en-US"/>
        </w:rPr>
        <w:t xml:space="preserve">Using </w:t>
      </w:r>
      <w:r w:rsidR="00A65729">
        <w:rPr>
          <w:lang w:val="en-US"/>
        </w:rPr>
        <w:t>the data obtained with the hydrogen Time Projection Chamber (TPC) the electronic noise has been investigated. Data suggests no significant time or frequency correlation for existing setup. The way how to implement electronic noise into simulation.</w:t>
      </w:r>
    </w:p>
    <w:p w:rsidR="00464B6F" w:rsidRDefault="00464B6F" w:rsidP="00464B6F">
      <w:pPr>
        <w:pStyle w:val="1"/>
        <w:rPr>
          <w:lang w:val="en-US"/>
        </w:rPr>
      </w:pPr>
      <w:r>
        <w:rPr>
          <w:lang w:val="en-US"/>
        </w:rPr>
        <w:t>Introduction</w:t>
      </w:r>
      <w:r w:rsidR="00A65729">
        <w:rPr>
          <w:lang w:val="en-US"/>
        </w:rPr>
        <w:t xml:space="preserve"> and Experimental setup</w:t>
      </w:r>
    </w:p>
    <w:p w:rsidR="00464B6F" w:rsidRDefault="00464B6F" w:rsidP="00A65729">
      <w:pPr>
        <w:jc w:val="both"/>
        <w:rPr>
          <w:lang w:val="en-US"/>
        </w:rPr>
      </w:pPr>
      <w:r>
        <w:rPr>
          <w:lang w:val="en-US"/>
        </w:rPr>
        <w:t xml:space="preserve">High pressure </w:t>
      </w:r>
      <w:r w:rsidR="00A65729">
        <w:rPr>
          <w:lang w:val="en-US"/>
        </w:rPr>
        <w:t xml:space="preserve">Time Projection Chamber (TPC) </w:t>
      </w:r>
      <w:r>
        <w:rPr>
          <w:lang w:val="en-US"/>
        </w:rPr>
        <w:t xml:space="preserve">is under development in Petersburg Nuclear Physics </w:t>
      </w:r>
      <w:r w:rsidR="00A65729">
        <w:rPr>
          <w:lang w:val="en-US"/>
        </w:rPr>
        <w:t>I</w:t>
      </w:r>
      <w:r>
        <w:rPr>
          <w:lang w:val="en-US"/>
        </w:rPr>
        <w:t xml:space="preserve">nstitute for detection of the elastically scattered </w:t>
      </w:r>
      <w:r w:rsidR="00A65729">
        <w:rPr>
          <w:lang w:val="en-US"/>
        </w:rPr>
        <w:t>protons</w:t>
      </w:r>
      <w:r w:rsidR="004E2F20">
        <w:rPr>
          <w:lang w:val="en-US"/>
        </w:rPr>
        <w:t>.</w:t>
      </w:r>
      <w:r w:rsidR="00A65729">
        <w:rPr>
          <w:lang w:val="en-US"/>
        </w:rPr>
        <w:t xml:space="preserve"> The TPC prototype called ACTAF was used for several test runs with electron and muon beams. The sketch of ACTAF </w:t>
      </w:r>
      <w:r w:rsidR="00660743">
        <w:rPr>
          <w:lang w:val="en-US"/>
        </w:rPr>
        <w:t>is</w:t>
      </w:r>
      <w:r w:rsidR="00A65729">
        <w:rPr>
          <w:lang w:val="en-US"/>
        </w:rPr>
        <w:t xml:space="preserve"> presented on </w:t>
      </w:r>
      <w:r w:rsidR="00660743">
        <w:rPr>
          <w:lang w:val="en-US"/>
        </w:rPr>
        <w:t>Fig.</w:t>
      </w:r>
      <w:r w:rsidR="0063504B">
        <w:rPr>
          <w:lang w:val="en-US"/>
        </w:rPr>
        <w:t> </w:t>
      </w:r>
      <w:r w:rsidR="00660743">
        <w:rPr>
          <w:lang w:val="en-US"/>
        </w:rPr>
        <w:t>1</w:t>
      </w:r>
    </w:p>
    <w:p w:rsidR="00EC048B" w:rsidRDefault="00660743" w:rsidP="00EC048B">
      <w:pPr>
        <w:jc w:val="center"/>
        <w:rPr>
          <w:lang w:val="en-US"/>
        </w:rPr>
      </w:pPr>
      <w:r w:rsidRPr="00660743">
        <w:rPr>
          <w:noProof/>
          <w:lang w:val="en-US"/>
        </w:rPr>
        <w:drawing>
          <wp:inline distT="0" distB="0" distL="0" distR="0">
            <wp:extent cx="4749801" cy="2266950"/>
            <wp:effectExtent l="0" t="0" r="0" b="0"/>
            <wp:docPr id="17" name="Рисунок 17" descr="C:\Users\Vostro\Dropbox\Documents\PNPI\2017\Proton\Протон\492e5a07-3e9c-46d2-a472-a2b3715d1a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stro\Dropbox\Documents\PNPI\2017\Proton\Протон\492e5a07-3e9c-46d2-a472-a2b3715d1ab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5767" cy="2284116"/>
                    </a:xfrm>
                    <a:prstGeom prst="rect">
                      <a:avLst/>
                    </a:prstGeom>
                    <a:noFill/>
                    <a:ln>
                      <a:noFill/>
                    </a:ln>
                  </pic:spPr>
                </pic:pic>
              </a:graphicData>
            </a:graphic>
          </wp:inline>
        </w:drawing>
      </w:r>
    </w:p>
    <w:p w:rsidR="00EC048B" w:rsidRDefault="00EC048B" w:rsidP="00EC048B">
      <w:pPr>
        <w:jc w:val="center"/>
        <w:rPr>
          <w:b/>
          <w:lang w:val="en-US"/>
        </w:rPr>
      </w:pPr>
      <w:r w:rsidRPr="00EC048B">
        <w:rPr>
          <w:b/>
          <w:lang w:val="en-US"/>
        </w:rPr>
        <w:t xml:space="preserve">Fig.1 </w:t>
      </w:r>
      <w:r w:rsidR="00660743">
        <w:rPr>
          <w:b/>
          <w:lang w:val="en-US"/>
        </w:rPr>
        <w:t>Sketch of ACTAF detector (left).</w:t>
      </w:r>
    </w:p>
    <w:p w:rsidR="0063504B" w:rsidRDefault="0063504B" w:rsidP="0063504B">
      <w:pPr>
        <w:jc w:val="both"/>
        <w:rPr>
          <w:b/>
          <w:lang w:val="en-US"/>
        </w:rPr>
      </w:pPr>
      <w:r>
        <w:rPr>
          <w:lang w:val="en-US"/>
        </w:rPr>
        <w:t xml:space="preserve">Anode segmentation scheme as well as typical signals from several anodes are presented on Fig. 2. Signal is placed on the fluctuating noise pedestals, which must be </w:t>
      </w:r>
      <w:proofErr w:type="gramStart"/>
      <w:r>
        <w:rPr>
          <w:lang w:val="en-US"/>
        </w:rPr>
        <w:t>taken into account</w:t>
      </w:r>
      <w:proofErr w:type="gramEnd"/>
      <w:r>
        <w:rPr>
          <w:lang w:val="en-US"/>
        </w:rPr>
        <w:t xml:space="preserve"> during procedure of the signal extraction.</w:t>
      </w:r>
      <w:r w:rsidR="009F533A">
        <w:rPr>
          <w:lang w:val="en-US"/>
        </w:rPr>
        <w:t xml:space="preserve"> Each channel in the time spectra corresponds to 40 ns.</w:t>
      </w:r>
      <w:r w:rsidR="00F42EA5">
        <w:rPr>
          <w:lang w:val="en-US"/>
        </w:rPr>
        <w:t xml:space="preserve"> </w:t>
      </w:r>
    </w:p>
    <w:p w:rsidR="00660743" w:rsidRDefault="00660743" w:rsidP="00EC048B">
      <w:pPr>
        <w:jc w:val="center"/>
        <w:rPr>
          <w:b/>
          <w:lang w:val="en-US"/>
        </w:rPr>
      </w:pPr>
      <w:r w:rsidRPr="00660743">
        <w:rPr>
          <w:b/>
          <w:noProof/>
          <w:lang w:val="en-US"/>
        </w:rPr>
        <w:drawing>
          <wp:inline distT="0" distB="0" distL="0" distR="0">
            <wp:extent cx="2387600" cy="2322016"/>
            <wp:effectExtent l="0" t="0" r="0" b="2540"/>
            <wp:docPr id="18" name="Рисунок 18" descr="C:\Users\Vostro\Dropbox\Analysis\EP\TestBeam\di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stro\Dropbox\Analysis\EP\TestBeam\dis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6293" cy="2330471"/>
                    </a:xfrm>
                    <a:prstGeom prst="rect">
                      <a:avLst/>
                    </a:prstGeom>
                    <a:noFill/>
                    <a:ln>
                      <a:noFill/>
                    </a:ln>
                  </pic:spPr>
                </pic:pic>
              </a:graphicData>
            </a:graphic>
          </wp:inline>
        </w:drawing>
      </w:r>
      <w:r w:rsidRPr="0066074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660743">
        <w:rPr>
          <w:b/>
          <w:noProof/>
          <w:lang w:val="en-US"/>
        </w:rPr>
        <w:drawing>
          <wp:inline distT="0" distB="0" distL="0" distR="0">
            <wp:extent cx="3295650" cy="1553628"/>
            <wp:effectExtent l="0" t="0" r="0" b="8890"/>
            <wp:docPr id="19" name="Рисунок 19" descr="C:\Users\Vostro\Dropbox\Analysis\EP\TestBeam\s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ostro\Dropbox\Analysis\EP\TestBeam\secto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0953" cy="1570270"/>
                    </a:xfrm>
                    <a:prstGeom prst="rect">
                      <a:avLst/>
                    </a:prstGeom>
                    <a:noFill/>
                    <a:ln>
                      <a:noFill/>
                    </a:ln>
                  </pic:spPr>
                </pic:pic>
              </a:graphicData>
            </a:graphic>
          </wp:inline>
        </w:drawing>
      </w:r>
    </w:p>
    <w:p w:rsidR="00660743" w:rsidRPr="00EC048B" w:rsidRDefault="00660743" w:rsidP="00C50924">
      <w:pPr>
        <w:jc w:val="center"/>
        <w:rPr>
          <w:b/>
          <w:lang w:val="en-US"/>
        </w:rPr>
      </w:pPr>
      <w:r w:rsidRPr="00EC048B">
        <w:rPr>
          <w:b/>
          <w:lang w:val="en-US"/>
        </w:rPr>
        <w:t>Fig.</w:t>
      </w:r>
      <w:r>
        <w:rPr>
          <w:b/>
          <w:lang w:val="en-US"/>
        </w:rPr>
        <w:t>2</w:t>
      </w:r>
      <w:r w:rsidRPr="00EC048B">
        <w:rPr>
          <w:b/>
          <w:lang w:val="en-US"/>
        </w:rPr>
        <w:t xml:space="preserve"> </w:t>
      </w:r>
      <w:r>
        <w:rPr>
          <w:b/>
          <w:lang w:val="en-US"/>
        </w:rPr>
        <w:t>Anode segmentation scheme (left).</w:t>
      </w:r>
      <w:r w:rsidR="0063504B">
        <w:rPr>
          <w:b/>
          <w:lang w:val="en-US"/>
        </w:rPr>
        <w:t xml:space="preserve"> Typical signals from event (right). Sector 15 is shown.</w:t>
      </w:r>
    </w:p>
    <w:p w:rsidR="00F42EA5" w:rsidRDefault="00F42EA5" w:rsidP="00EC048B">
      <w:pPr>
        <w:jc w:val="both"/>
        <w:rPr>
          <w:lang w:val="en-US"/>
        </w:rPr>
      </w:pPr>
      <w:r>
        <w:rPr>
          <w:lang w:val="en-US"/>
        </w:rPr>
        <w:t>The shape of the signal fu</w:t>
      </w:r>
      <w:r w:rsidR="00F357DF">
        <w:rPr>
          <w:lang w:val="en-US"/>
        </w:rPr>
        <w:t>n</w:t>
      </w:r>
      <w:r>
        <w:rPr>
          <w:lang w:val="en-US"/>
        </w:rPr>
        <w:t>ction represents</w:t>
      </w:r>
      <w:r w:rsidR="00F357DF">
        <w:rPr>
          <w:lang w:val="en-US"/>
        </w:rPr>
        <w:t xml:space="preserve"> the electronic response function (response time spectra on the delta-function like signal), which has 1400 ns time to reach maximum and duration of 5000 ns.</w:t>
      </w:r>
    </w:p>
    <w:p w:rsidR="004E2F20" w:rsidRDefault="00C50924" w:rsidP="00EC048B">
      <w:pPr>
        <w:jc w:val="both"/>
        <w:rPr>
          <w:lang w:val="en-US"/>
        </w:rPr>
      </w:pPr>
      <w:r>
        <w:rPr>
          <w:lang w:val="en-US"/>
        </w:rPr>
        <w:lastRenderedPageBreak/>
        <w:t>A source of alpha-particles</w:t>
      </w:r>
      <w:r w:rsidR="001360E5">
        <w:rPr>
          <w:lang w:val="en-US"/>
        </w:rPr>
        <w:t xml:space="preserve"> </w:t>
      </w:r>
      <w:r>
        <w:rPr>
          <w:lang w:val="en-US"/>
        </w:rPr>
        <w:t>is placed on anode 7 (sector 2) and allows to make calibration. Around 5000 of such events were collected. Events triggered from the signal from alpha particles (with absence of any beam) provide ideal data to study electronic noise.  In this internal note the analysis of noise from central anode ring (anode 66) is presented. The time spectra were examined to have no signal</w:t>
      </w:r>
      <w:r w:rsidR="00E06BB9">
        <w:rPr>
          <w:lang w:val="en-US"/>
        </w:rPr>
        <w:t xml:space="preserve"> inside</w:t>
      </w:r>
      <w:r w:rsidR="009F533A">
        <w:rPr>
          <w:lang w:val="en-US"/>
        </w:rPr>
        <w:t xml:space="preserve"> with the criterium no excess on averaged signal in the 10-channel-width moving time window over the baseline scaled with factor of 1.02. The distribution of the selected events on the maximal </w:t>
      </w:r>
      <w:r w:rsidR="00EC3A48">
        <w:rPr>
          <w:lang w:val="en-US"/>
        </w:rPr>
        <w:t xml:space="preserve">absolute value of </w:t>
      </w:r>
      <w:r w:rsidR="009F533A">
        <w:rPr>
          <w:lang w:val="en-US"/>
        </w:rPr>
        <w:t>difference with respect to the baseline is presented on the left panel of Fig. 3.</w:t>
      </w:r>
      <w:r w:rsidR="00EC3A48">
        <w:rPr>
          <w:lang w:val="en-US"/>
        </w:rPr>
        <w:t xml:space="preserve"> For further studies </w:t>
      </w:r>
      <w:proofErr w:type="gramStart"/>
      <w:r w:rsidR="00EC3A48">
        <w:rPr>
          <w:lang w:val="en-US"/>
        </w:rPr>
        <w:t>only</w:t>
      </w:r>
      <w:proofErr w:type="gramEnd"/>
      <w:r w:rsidR="00EC3A48">
        <w:rPr>
          <w:lang w:val="en-US"/>
        </w:rPr>
        <w:t xml:space="preserve"> events with this variable less than 65 were used.</w:t>
      </w:r>
    </w:p>
    <w:p w:rsidR="009F533A" w:rsidRDefault="009F533A" w:rsidP="009F533A">
      <w:pPr>
        <w:jc w:val="center"/>
        <w:rPr>
          <w:lang w:val="en-US"/>
        </w:rPr>
      </w:pPr>
      <w:r>
        <w:rPr>
          <w:noProof/>
        </w:rPr>
        <w:drawing>
          <wp:inline distT="0" distB="0" distL="0" distR="0">
            <wp:extent cx="2419350" cy="1814513"/>
            <wp:effectExtent l="0" t="0" r="0" b="0"/>
            <wp:docPr id="20" name="Рисунок 20" descr="https://aleksha.space/event/MAX_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leksha.space/event/MAX_DIFF.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4545" cy="1825909"/>
                    </a:xfrm>
                    <a:prstGeom prst="rect">
                      <a:avLst/>
                    </a:prstGeom>
                    <a:noFill/>
                    <a:ln>
                      <a:noFill/>
                    </a:ln>
                  </pic:spPr>
                </pic:pic>
              </a:graphicData>
            </a:graphic>
          </wp:inline>
        </w:drawing>
      </w:r>
      <w:r>
        <w:rPr>
          <w:noProof/>
        </w:rPr>
        <w:drawing>
          <wp:inline distT="0" distB="0" distL="0" distR="0">
            <wp:extent cx="2404533" cy="1803400"/>
            <wp:effectExtent l="0" t="0" r="0" b="6350"/>
            <wp:docPr id="21" name="Рисунок 21" descr="https://aleksha.space/event/EV_EV-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leksha.space/event/EV_EV-AV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16976" cy="1812732"/>
                    </a:xfrm>
                    <a:prstGeom prst="rect">
                      <a:avLst/>
                    </a:prstGeom>
                    <a:noFill/>
                    <a:ln>
                      <a:noFill/>
                    </a:ln>
                  </pic:spPr>
                </pic:pic>
              </a:graphicData>
            </a:graphic>
          </wp:inline>
        </w:drawing>
      </w:r>
    </w:p>
    <w:p w:rsidR="009F533A" w:rsidRPr="00EC048B" w:rsidRDefault="009F533A" w:rsidP="009F533A">
      <w:pPr>
        <w:jc w:val="center"/>
        <w:rPr>
          <w:b/>
          <w:lang w:val="en-US"/>
        </w:rPr>
      </w:pPr>
      <w:r w:rsidRPr="00EC048B">
        <w:rPr>
          <w:b/>
          <w:lang w:val="en-US"/>
        </w:rPr>
        <w:t>Fig.</w:t>
      </w:r>
      <w:r>
        <w:rPr>
          <w:b/>
          <w:lang w:val="en-US"/>
        </w:rPr>
        <w:t>3</w:t>
      </w:r>
      <w:r w:rsidRPr="00EC048B">
        <w:rPr>
          <w:b/>
          <w:lang w:val="en-US"/>
        </w:rPr>
        <w:t xml:space="preserve"> </w:t>
      </w:r>
      <w:r w:rsidR="00895C70">
        <w:rPr>
          <w:b/>
          <w:lang w:val="en-US"/>
        </w:rPr>
        <w:t>Left panel: d</w:t>
      </w:r>
      <w:r>
        <w:rPr>
          <w:b/>
          <w:lang w:val="en-US"/>
        </w:rPr>
        <w:t xml:space="preserve">istribution on absolute value of maximal difference of the ADC response with respect to the baseline. Green histogram corresponds to the full sample, yellow one to the part of sample, for which difference is negative. </w:t>
      </w:r>
      <w:r w:rsidR="00895C70">
        <w:rPr>
          <w:b/>
          <w:lang w:val="en-US"/>
        </w:rPr>
        <w:t>Right panel: ty</w:t>
      </w:r>
      <w:r>
        <w:rPr>
          <w:b/>
          <w:lang w:val="en-US"/>
        </w:rPr>
        <w:t xml:space="preserve">pical </w:t>
      </w:r>
      <w:r w:rsidR="00895C70">
        <w:rPr>
          <w:b/>
          <w:lang w:val="en-US"/>
        </w:rPr>
        <w:t>baseline-corrected ADC response for one event (blue) and averaged for the sample (green)</w:t>
      </w:r>
      <w:r>
        <w:rPr>
          <w:b/>
          <w:lang w:val="en-US"/>
        </w:rPr>
        <w:t>.</w:t>
      </w:r>
    </w:p>
    <w:p w:rsidR="00C50924" w:rsidRDefault="00C50924" w:rsidP="00EC048B">
      <w:pPr>
        <w:jc w:val="both"/>
        <w:rPr>
          <w:lang w:val="en-US"/>
        </w:rPr>
      </w:pPr>
    </w:p>
    <w:p w:rsidR="00334F1D" w:rsidRDefault="00EC3A48" w:rsidP="00EC048B">
      <w:pPr>
        <w:jc w:val="both"/>
        <w:rPr>
          <w:lang w:val="en-US"/>
        </w:rPr>
      </w:pPr>
      <w:r>
        <w:rPr>
          <w:lang w:val="en-US"/>
        </w:rPr>
        <w:t xml:space="preserve">Typical baseline-corrected time spectrum is presented at the right panel of Fig. 3. When compared with the average one over the selected sample it demonstrates much large fluctuations. This is an </w:t>
      </w:r>
      <w:r w:rsidR="009A53CA">
        <w:rPr>
          <w:lang w:val="en-US"/>
        </w:rPr>
        <w:t>evidence of absence</w:t>
      </w:r>
      <w:r>
        <w:rPr>
          <w:lang w:val="en-US"/>
        </w:rPr>
        <w:t xml:space="preserve"> of any low signals invisible for individual event, as well as absence of any periodic contribution synchronized (somehow) with the trigger system.</w:t>
      </w:r>
    </w:p>
    <w:p w:rsidR="00785CF8" w:rsidRDefault="00785CF8" w:rsidP="00785CF8">
      <w:pPr>
        <w:pStyle w:val="1"/>
        <w:rPr>
          <w:lang w:val="en-US"/>
        </w:rPr>
      </w:pPr>
      <w:r>
        <w:rPr>
          <w:lang w:val="en-US"/>
        </w:rPr>
        <w:t>Fourier analysis</w:t>
      </w:r>
    </w:p>
    <w:p w:rsidR="00734096" w:rsidRDefault="00DE7D9A" w:rsidP="00734096">
      <w:pPr>
        <w:jc w:val="both"/>
        <w:rPr>
          <w:lang w:val="en-US"/>
        </w:rPr>
      </w:pPr>
      <w:r>
        <w:rPr>
          <w:lang w:val="en-US"/>
        </w:rPr>
        <w:t xml:space="preserve">To study frequency characteristics of the noise fast-Fourier analysis has been performed using </w:t>
      </w:r>
      <w:proofErr w:type="spellStart"/>
      <w:r w:rsidRPr="00DE7D9A">
        <w:rPr>
          <w:b/>
          <w:lang w:val="en-US"/>
        </w:rPr>
        <w:t>fft</w:t>
      </w:r>
      <w:proofErr w:type="spellEnd"/>
      <w:r>
        <w:rPr>
          <w:lang w:val="en-US"/>
        </w:rPr>
        <w:t xml:space="preserve"> function from </w:t>
      </w:r>
      <w:proofErr w:type="spellStart"/>
      <w:proofErr w:type="gramStart"/>
      <w:r w:rsidRPr="00DE7D9A">
        <w:rPr>
          <w:b/>
          <w:lang w:val="en-US"/>
        </w:rPr>
        <w:t>scipy.fftpack</w:t>
      </w:r>
      <w:proofErr w:type="spellEnd"/>
      <w:proofErr w:type="gramEnd"/>
      <w:r>
        <w:rPr>
          <w:lang w:val="en-US"/>
        </w:rPr>
        <w:t xml:space="preserve"> package</w:t>
      </w:r>
      <w:r w:rsidR="00447A88">
        <w:rPr>
          <w:lang w:val="en-US"/>
        </w:rPr>
        <w:t xml:space="preserve"> [1]</w:t>
      </w:r>
      <w:r>
        <w:rPr>
          <w:lang w:val="en-US"/>
        </w:rPr>
        <w:t xml:space="preserve">, which is available for Python programming language. </w:t>
      </w:r>
      <w:r w:rsidRPr="00DE7D9A">
        <w:rPr>
          <w:lang w:val="en-US"/>
        </w:rPr>
        <w:t>The packing of the result is “standard”</w:t>
      </w:r>
      <w:r>
        <w:rPr>
          <w:lang w:val="en-US"/>
        </w:rPr>
        <w:t>;</w:t>
      </w:r>
      <w:r w:rsidRPr="00DE7D9A">
        <w:rPr>
          <w:lang w:val="en-US"/>
        </w:rPr>
        <w:t xml:space="preserve"> </w:t>
      </w:r>
      <w:r>
        <w:rPr>
          <w:lang w:val="en-US"/>
        </w:rPr>
        <w:t>i</w:t>
      </w:r>
      <w:r w:rsidRPr="00DE7D9A">
        <w:rPr>
          <w:lang w:val="en-US"/>
        </w:rPr>
        <w:t xml:space="preserve">f </w:t>
      </w:r>
      <w:r w:rsidRPr="00DE7D9A">
        <w:rPr>
          <w:b/>
          <w:lang w:val="en-US"/>
        </w:rPr>
        <w:t xml:space="preserve">A = </w:t>
      </w:r>
      <w:proofErr w:type="spellStart"/>
      <w:r w:rsidRPr="00DE7D9A">
        <w:rPr>
          <w:b/>
          <w:lang w:val="en-US"/>
        </w:rPr>
        <w:t>fft</w:t>
      </w:r>
      <w:proofErr w:type="spellEnd"/>
      <w:r w:rsidRPr="00DE7D9A">
        <w:rPr>
          <w:b/>
          <w:lang w:val="en-US"/>
        </w:rPr>
        <w:t>(a)</w:t>
      </w:r>
      <w:r w:rsidRPr="00DE7D9A">
        <w:rPr>
          <w:lang w:val="en-US"/>
        </w:rPr>
        <w:t xml:space="preserve">, then </w:t>
      </w:r>
      <w:proofErr w:type="gramStart"/>
      <w:r w:rsidRPr="0055355A">
        <w:rPr>
          <w:b/>
          <w:lang w:val="en-US"/>
        </w:rPr>
        <w:t>A[</w:t>
      </w:r>
      <w:proofErr w:type="gramEnd"/>
      <w:r w:rsidRPr="0055355A">
        <w:rPr>
          <w:b/>
          <w:lang w:val="en-US"/>
        </w:rPr>
        <w:t>0]</w:t>
      </w:r>
      <w:r w:rsidRPr="00DE7D9A">
        <w:rPr>
          <w:lang w:val="en-US"/>
        </w:rPr>
        <w:t xml:space="preserve"> contains the zero-frequency term, </w:t>
      </w:r>
      <w:r w:rsidRPr="0055355A">
        <w:rPr>
          <w:b/>
          <w:lang w:val="en-US"/>
        </w:rPr>
        <w:t>A[1:n/2]</w:t>
      </w:r>
      <w:r w:rsidRPr="00DE7D9A">
        <w:rPr>
          <w:lang w:val="en-US"/>
        </w:rPr>
        <w:t xml:space="preserve"> contains the positive-frequency terms, and </w:t>
      </w:r>
      <w:r w:rsidRPr="0055355A">
        <w:rPr>
          <w:b/>
          <w:lang w:val="en-US"/>
        </w:rPr>
        <w:t>A[n/2:]</w:t>
      </w:r>
      <w:r w:rsidRPr="00DE7D9A">
        <w:rPr>
          <w:lang w:val="en-US"/>
        </w:rPr>
        <w:t xml:space="preserve"> contains the negative-frequency terms, in order of decreasingly negative frequency</w:t>
      </w:r>
      <w:r w:rsidR="0055355A">
        <w:rPr>
          <w:lang w:val="en-US"/>
        </w:rPr>
        <w:t xml:space="preserve"> (where </w:t>
      </w:r>
      <w:r w:rsidR="0055355A" w:rsidRPr="0055355A">
        <w:rPr>
          <w:b/>
          <w:lang w:val="en-US"/>
        </w:rPr>
        <w:t>n</w:t>
      </w:r>
      <w:r w:rsidR="0055355A">
        <w:rPr>
          <w:lang w:val="en-US"/>
        </w:rPr>
        <w:t xml:space="preserve"> is number of input values). As input spectrum contains only</w:t>
      </w:r>
      <w:r w:rsidR="0055355A" w:rsidRPr="0055355A">
        <w:rPr>
          <w:lang w:val="en-US"/>
        </w:rPr>
        <w:t xml:space="preserve"> real</w:t>
      </w:r>
      <w:r w:rsidR="0055355A">
        <w:rPr>
          <w:lang w:val="en-US"/>
        </w:rPr>
        <w:t xml:space="preserve"> </w:t>
      </w:r>
      <w:r w:rsidR="0055355A" w:rsidRPr="0055355A">
        <w:rPr>
          <w:lang w:val="en-US"/>
        </w:rPr>
        <w:t>value</w:t>
      </w:r>
      <w:r w:rsidR="0055355A">
        <w:rPr>
          <w:lang w:val="en-US"/>
        </w:rPr>
        <w:t>s,</w:t>
      </w:r>
      <w:r w:rsidR="0055355A" w:rsidRPr="0055355A">
        <w:rPr>
          <w:lang w:val="en-US"/>
        </w:rPr>
        <w:t xml:space="preserve"> then </w:t>
      </w:r>
      <w:r w:rsidR="0055355A" w:rsidRPr="0055355A">
        <w:rPr>
          <w:b/>
          <w:lang w:val="en-US"/>
        </w:rPr>
        <w:t>A[j]</w:t>
      </w:r>
      <w:r w:rsidR="0055355A" w:rsidRPr="0055355A">
        <w:rPr>
          <w:lang w:val="en-US"/>
        </w:rPr>
        <w:t xml:space="preserve"> </w:t>
      </w:r>
      <w:r w:rsidR="0055355A">
        <w:rPr>
          <w:lang w:val="en-US"/>
        </w:rPr>
        <w:t xml:space="preserve">is equal of conjugated </w:t>
      </w:r>
      <w:r w:rsidR="0055355A" w:rsidRPr="0055355A">
        <w:rPr>
          <w:b/>
          <w:lang w:val="en-US"/>
        </w:rPr>
        <w:t>A[n-j]</w:t>
      </w:r>
      <w:r w:rsidR="0055355A" w:rsidRPr="0055355A">
        <w:rPr>
          <w:lang w:val="en-US"/>
        </w:rPr>
        <w:t>.</w:t>
      </w:r>
      <w:r w:rsidR="00734096">
        <w:rPr>
          <w:lang w:val="en-US"/>
        </w:rPr>
        <w:t xml:space="preserve"> The </w:t>
      </w:r>
      <w:r w:rsidR="00734096" w:rsidRPr="00734096">
        <w:rPr>
          <w:b/>
          <w:lang w:val="en-US"/>
        </w:rPr>
        <w:t>A[</w:t>
      </w:r>
      <w:proofErr w:type="spellStart"/>
      <w:r w:rsidR="00734096" w:rsidRPr="00734096">
        <w:rPr>
          <w:b/>
          <w:lang w:val="en-US"/>
        </w:rPr>
        <w:t>i</w:t>
      </w:r>
      <w:proofErr w:type="spellEnd"/>
      <w:r w:rsidR="00734096" w:rsidRPr="00734096">
        <w:rPr>
          <w:b/>
          <w:lang w:val="en-US"/>
        </w:rPr>
        <w:t>]</w:t>
      </w:r>
      <w:r w:rsidR="00734096">
        <w:rPr>
          <w:lang w:val="en-US"/>
        </w:rPr>
        <w:t xml:space="preserve"> frequency corresponds to the period </w:t>
      </w:r>
      <w:r w:rsidR="00734096" w:rsidRPr="00734096">
        <w:rPr>
          <w:b/>
          <w:lang w:val="en-US"/>
        </w:rPr>
        <w:t>107680</w:t>
      </w:r>
      <w:r w:rsidR="00734096">
        <w:rPr>
          <w:b/>
          <w:lang w:val="en-US"/>
        </w:rPr>
        <w:t xml:space="preserve"> </w:t>
      </w:r>
      <w:r w:rsidR="00734096" w:rsidRPr="00734096">
        <w:rPr>
          <w:b/>
          <w:lang w:val="en-US"/>
        </w:rPr>
        <w:t>/</w:t>
      </w:r>
      <w:r w:rsidR="00734096">
        <w:rPr>
          <w:b/>
          <w:lang w:val="en-US"/>
        </w:rPr>
        <w:t xml:space="preserve"> </w:t>
      </w:r>
      <w:proofErr w:type="spellStart"/>
      <w:r w:rsidR="00734096" w:rsidRPr="00734096">
        <w:rPr>
          <w:b/>
          <w:lang w:val="en-US"/>
        </w:rPr>
        <w:t>i</w:t>
      </w:r>
      <w:proofErr w:type="spellEnd"/>
      <w:r w:rsidR="00734096">
        <w:rPr>
          <w:lang w:val="en-US"/>
        </w:rPr>
        <w:t> ns.</w:t>
      </w:r>
    </w:p>
    <w:p w:rsidR="00A74104" w:rsidRDefault="00A74104" w:rsidP="00A74104">
      <w:pPr>
        <w:jc w:val="center"/>
        <w:rPr>
          <w:b/>
          <w:lang w:val="en-US"/>
        </w:rPr>
      </w:pPr>
      <w:r>
        <w:rPr>
          <w:noProof/>
        </w:rPr>
        <w:drawing>
          <wp:inline distT="0" distB="0" distL="0" distR="0">
            <wp:extent cx="2393950" cy="1795462"/>
            <wp:effectExtent l="0" t="0" r="6350" b="0"/>
            <wp:docPr id="22" name="Рисунок 22" descr="https://aleksha.space/event/ABS_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leksha.space/event/ABS_VA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9967" cy="1807474"/>
                    </a:xfrm>
                    <a:prstGeom prst="rect">
                      <a:avLst/>
                    </a:prstGeom>
                    <a:noFill/>
                    <a:ln>
                      <a:noFill/>
                    </a:ln>
                  </pic:spPr>
                </pic:pic>
              </a:graphicData>
            </a:graphic>
          </wp:inline>
        </w:drawing>
      </w:r>
      <w:r>
        <w:rPr>
          <w:noProof/>
        </w:rPr>
        <w:drawing>
          <wp:inline distT="0" distB="0" distL="0" distR="0">
            <wp:extent cx="2353734" cy="1765300"/>
            <wp:effectExtent l="0" t="0" r="8890" b="6350"/>
            <wp:docPr id="23" name="Рисунок 23" descr="https://aleksha.space/event/ARG_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leksha.space/event/ARG_VA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7759" cy="1775818"/>
                    </a:xfrm>
                    <a:prstGeom prst="rect">
                      <a:avLst/>
                    </a:prstGeom>
                    <a:noFill/>
                    <a:ln>
                      <a:noFill/>
                    </a:ln>
                  </pic:spPr>
                </pic:pic>
              </a:graphicData>
            </a:graphic>
          </wp:inline>
        </w:drawing>
      </w:r>
    </w:p>
    <w:p w:rsidR="00374E6F" w:rsidRDefault="00374E6F" w:rsidP="00A74104">
      <w:pPr>
        <w:jc w:val="center"/>
        <w:rPr>
          <w:b/>
          <w:lang w:val="en-US"/>
        </w:rPr>
      </w:pPr>
      <w:r w:rsidRPr="00860279">
        <w:rPr>
          <w:b/>
          <w:lang w:val="en-US"/>
        </w:rPr>
        <w:t>Fig.</w:t>
      </w:r>
      <w:r>
        <w:rPr>
          <w:b/>
          <w:lang w:val="en-US"/>
        </w:rPr>
        <w:t>4</w:t>
      </w:r>
      <w:r w:rsidRPr="00860279">
        <w:rPr>
          <w:b/>
          <w:lang w:val="en-US"/>
        </w:rPr>
        <w:t xml:space="preserve"> </w:t>
      </w:r>
      <w:r>
        <w:rPr>
          <w:b/>
          <w:lang w:val="en-US"/>
        </w:rPr>
        <w:t>Distribution of absolute value and complex phase for one of frequency channels.</w:t>
      </w:r>
    </w:p>
    <w:p w:rsidR="00CD3445" w:rsidRDefault="00A962A9" w:rsidP="00A962A9">
      <w:pPr>
        <w:jc w:val="both"/>
        <w:rPr>
          <w:lang w:val="en-US"/>
        </w:rPr>
      </w:pPr>
      <w:r>
        <w:rPr>
          <w:lang w:val="en-US"/>
        </w:rPr>
        <w:lastRenderedPageBreak/>
        <w:t xml:space="preserve">The distributions of the absolute value and phase for one of the channels are presented on Fig. 4. The mean (over the event sample) absolute values as a function of frequency, as well as Fourier transform for </w:t>
      </w:r>
      <w:r w:rsidR="00B01215">
        <w:rPr>
          <w:lang w:val="en-US"/>
        </w:rPr>
        <w:t xml:space="preserve">the averaged time spectrum are presented </w:t>
      </w:r>
      <w:r>
        <w:rPr>
          <w:lang w:val="en-US"/>
        </w:rPr>
        <w:t xml:space="preserve">on the </w:t>
      </w:r>
      <w:r w:rsidR="00B01215">
        <w:rPr>
          <w:lang w:val="en-US"/>
        </w:rPr>
        <w:t>Fig. 5 (note, that only first 200 channels are shown).</w:t>
      </w:r>
      <w:r w:rsidR="00EC14EC">
        <w:rPr>
          <w:lang w:val="en-US"/>
        </w:rPr>
        <w:t xml:space="preserve"> There are several frequency channels with higher mean value with respect to the channels nearby.</w:t>
      </w:r>
      <w:r w:rsidR="00747C8D">
        <w:rPr>
          <w:lang w:val="en-US"/>
        </w:rPr>
        <w:t xml:space="preserve"> The </w:t>
      </w:r>
      <w:r w:rsidR="00785CF8">
        <w:rPr>
          <w:lang w:val="en-US"/>
        </w:rPr>
        <w:t>result of Fourier transformation for the averaged time spectrum also is a clear evidence that frequency channels are independent.</w:t>
      </w:r>
    </w:p>
    <w:p w:rsidR="00CD3445" w:rsidRDefault="00CD3445" w:rsidP="00CD3445">
      <w:pPr>
        <w:jc w:val="center"/>
        <w:rPr>
          <w:lang w:val="en-US"/>
        </w:rPr>
      </w:pPr>
      <w:r>
        <w:rPr>
          <w:noProof/>
        </w:rPr>
        <w:drawing>
          <wp:inline distT="0" distB="0" distL="0" distR="0">
            <wp:extent cx="2887133" cy="2165350"/>
            <wp:effectExtent l="0" t="0" r="8890" b="6350"/>
            <wp:docPr id="24" name="Рисунок 24" descr="https://aleksha.space/event/SPECTRUM_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leksha.space/event/SPECTRUM_AV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90507" cy="2167880"/>
                    </a:xfrm>
                    <a:prstGeom prst="rect">
                      <a:avLst/>
                    </a:prstGeom>
                    <a:noFill/>
                    <a:ln>
                      <a:noFill/>
                    </a:ln>
                  </pic:spPr>
                </pic:pic>
              </a:graphicData>
            </a:graphic>
          </wp:inline>
        </w:drawing>
      </w:r>
      <w:r w:rsidRPr="00CD3445">
        <w:rPr>
          <w:lang w:val="en-US"/>
        </w:rPr>
        <w:t xml:space="preserve"> </w:t>
      </w:r>
      <w:r>
        <w:rPr>
          <w:noProof/>
        </w:rPr>
        <w:drawing>
          <wp:inline distT="0" distB="0" distL="0" distR="0">
            <wp:extent cx="2929467" cy="2197100"/>
            <wp:effectExtent l="0" t="0" r="4445" b="0"/>
            <wp:docPr id="25" name="Рисунок 25" descr="https://aleksha.space/event/FLTR_SP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leksha.space/event/FLTR_SPEC.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2299" cy="2206724"/>
                    </a:xfrm>
                    <a:prstGeom prst="rect">
                      <a:avLst/>
                    </a:prstGeom>
                    <a:noFill/>
                    <a:ln>
                      <a:noFill/>
                    </a:ln>
                  </pic:spPr>
                </pic:pic>
              </a:graphicData>
            </a:graphic>
          </wp:inline>
        </w:drawing>
      </w:r>
    </w:p>
    <w:p w:rsidR="00CD3445" w:rsidRDefault="00CD3445" w:rsidP="00CD3445">
      <w:pPr>
        <w:jc w:val="center"/>
        <w:rPr>
          <w:b/>
          <w:lang w:val="en-US"/>
        </w:rPr>
      </w:pPr>
      <w:r w:rsidRPr="00860279">
        <w:rPr>
          <w:b/>
          <w:lang w:val="en-US"/>
        </w:rPr>
        <w:t>Fig.</w:t>
      </w:r>
      <w:r>
        <w:rPr>
          <w:b/>
          <w:lang w:val="en-US"/>
        </w:rPr>
        <w:t>5</w:t>
      </w:r>
      <w:r w:rsidRPr="00860279">
        <w:rPr>
          <w:b/>
          <w:lang w:val="en-US"/>
        </w:rPr>
        <w:t xml:space="preserve"> </w:t>
      </w:r>
      <w:r>
        <w:rPr>
          <w:b/>
          <w:lang w:val="en-US"/>
        </w:rPr>
        <w:t xml:space="preserve">Left panel: mean absolute value for the sample. Right panel: result of Fourier transformation for the averaged spectrum (see Fig.3 right panel). </w:t>
      </w:r>
    </w:p>
    <w:p w:rsidR="00CD3445" w:rsidRDefault="00CD3445" w:rsidP="00A962A9">
      <w:pPr>
        <w:jc w:val="both"/>
        <w:rPr>
          <w:lang w:val="en-US"/>
        </w:rPr>
      </w:pPr>
    </w:p>
    <w:p w:rsidR="00A962A9" w:rsidRDefault="007E2DFD" w:rsidP="00A962A9">
      <w:pPr>
        <w:jc w:val="both"/>
        <w:rPr>
          <w:lang w:val="en-US"/>
        </w:rPr>
      </w:pPr>
      <w:r>
        <w:rPr>
          <w:lang w:val="en-US"/>
        </w:rPr>
        <w:t xml:space="preserve">The phase distributions for all frequency channels were examined to be consistent with constant hypothesis. The </w:t>
      </w:r>
      <w:r>
        <w:t>χ</w:t>
      </w:r>
      <w:r w:rsidRPr="007E2DFD">
        <w:rPr>
          <w:vertAlign w:val="superscript"/>
          <w:lang w:val="en-US"/>
        </w:rPr>
        <w:t>2</w:t>
      </w:r>
      <w:r w:rsidRPr="007E2DFD">
        <w:rPr>
          <w:lang w:val="en-US"/>
        </w:rPr>
        <w:t xml:space="preserve"> </w:t>
      </w:r>
      <w:r>
        <w:rPr>
          <w:lang w:val="en-US"/>
        </w:rPr>
        <w:t xml:space="preserve">test was performed with the coincidence level of 99.7% (3 sigma). First tree channels as well as wide range from channel 80 to 250 demonstrate inconsistency with flat hypothesis. The different patterns were observed for these two regions (see Fig. 6). The reasons of such behavior </w:t>
      </w:r>
      <w:proofErr w:type="gramStart"/>
      <w:r>
        <w:rPr>
          <w:lang w:val="en-US"/>
        </w:rPr>
        <w:t>was</w:t>
      </w:r>
      <w:proofErr w:type="gramEnd"/>
      <w:r>
        <w:rPr>
          <w:lang w:val="en-US"/>
        </w:rPr>
        <w:t xml:space="preserve"> not understood. </w:t>
      </w:r>
    </w:p>
    <w:p w:rsidR="009C4598" w:rsidRDefault="009C4598" w:rsidP="009C4598">
      <w:pPr>
        <w:jc w:val="center"/>
        <w:rPr>
          <w:lang w:val="en-US"/>
        </w:rPr>
      </w:pPr>
      <w:r>
        <w:rPr>
          <w:noProof/>
        </w:rPr>
        <w:drawing>
          <wp:inline distT="0" distB="0" distL="0" distR="0">
            <wp:extent cx="2730500" cy="2047876"/>
            <wp:effectExtent l="0" t="0" r="0" b="9525"/>
            <wp:docPr id="27" name="Рисунок 27" descr="https://aleksha.space/event/ARG_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aleksha.space/event/ARG_VA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8441" cy="2053832"/>
                    </a:xfrm>
                    <a:prstGeom prst="rect">
                      <a:avLst/>
                    </a:prstGeom>
                    <a:noFill/>
                    <a:ln>
                      <a:noFill/>
                    </a:ln>
                  </pic:spPr>
                </pic:pic>
              </a:graphicData>
            </a:graphic>
          </wp:inline>
        </w:drawing>
      </w:r>
      <w:r>
        <w:rPr>
          <w:noProof/>
        </w:rPr>
        <w:drawing>
          <wp:inline distT="0" distB="0" distL="0" distR="0">
            <wp:extent cx="2705100" cy="2028825"/>
            <wp:effectExtent l="0" t="0" r="0" b="9525"/>
            <wp:docPr id="26" name="Рисунок 26" descr="https://aleksha.space/event/ARG_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leksha.space/event/ARG_VAL.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16608" cy="2037456"/>
                    </a:xfrm>
                    <a:prstGeom prst="rect">
                      <a:avLst/>
                    </a:prstGeom>
                    <a:noFill/>
                    <a:ln>
                      <a:noFill/>
                    </a:ln>
                  </pic:spPr>
                </pic:pic>
              </a:graphicData>
            </a:graphic>
          </wp:inline>
        </w:drawing>
      </w:r>
    </w:p>
    <w:p w:rsidR="007E2DFD" w:rsidRDefault="007E2DFD" w:rsidP="007E2DFD">
      <w:pPr>
        <w:jc w:val="center"/>
        <w:rPr>
          <w:b/>
          <w:lang w:val="en-US"/>
        </w:rPr>
      </w:pPr>
      <w:r w:rsidRPr="00860279">
        <w:rPr>
          <w:b/>
          <w:lang w:val="en-US"/>
        </w:rPr>
        <w:t>Fig.</w:t>
      </w:r>
      <w:r>
        <w:rPr>
          <w:b/>
          <w:lang w:val="en-US"/>
        </w:rPr>
        <w:t>6</w:t>
      </w:r>
      <w:r w:rsidRPr="00860279">
        <w:rPr>
          <w:b/>
          <w:lang w:val="en-US"/>
        </w:rPr>
        <w:t xml:space="preserve"> </w:t>
      </w:r>
      <w:r>
        <w:rPr>
          <w:b/>
          <w:lang w:val="en-US"/>
        </w:rPr>
        <w:t>Distribution of complex phase for 1</w:t>
      </w:r>
      <w:r w:rsidRPr="007E2DFD">
        <w:rPr>
          <w:b/>
          <w:vertAlign w:val="superscript"/>
          <w:lang w:val="en-US"/>
        </w:rPr>
        <w:t>st</w:t>
      </w:r>
      <w:r>
        <w:rPr>
          <w:b/>
          <w:lang w:val="en-US"/>
        </w:rPr>
        <w:t xml:space="preserve"> and 125</w:t>
      </w:r>
      <w:r w:rsidRPr="007E2DFD">
        <w:rPr>
          <w:b/>
          <w:vertAlign w:val="superscript"/>
          <w:lang w:val="en-US"/>
        </w:rPr>
        <w:t>th</w:t>
      </w:r>
      <w:r>
        <w:rPr>
          <w:b/>
          <w:lang w:val="en-US"/>
        </w:rPr>
        <w:t xml:space="preserve"> frequency channels.</w:t>
      </w:r>
    </w:p>
    <w:p w:rsidR="004E2F20" w:rsidRDefault="00315405" w:rsidP="004E2F20">
      <w:pPr>
        <w:pStyle w:val="1"/>
        <w:rPr>
          <w:lang w:val="en-US"/>
        </w:rPr>
      </w:pPr>
      <w:r>
        <w:rPr>
          <w:lang w:val="en-US"/>
        </w:rPr>
        <w:t>Monte-Carlo simulation of the noise</w:t>
      </w:r>
    </w:p>
    <w:p w:rsidR="005D741A" w:rsidRDefault="005D741A" w:rsidP="005D741A">
      <w:pPr>
        <w:rPr>
          <w:lang w:val="en-US"/>
        </w:rPr>
      </w:pPr>
      <w:r>
        <w:rPr>
          <w:lang w:val="en-US"/>
        </w:rPr>
        <w:t>To simulate noise time distribution next procedure is proposed:</w:t>
      </w:r>
    </w:p>
    <w:p w:rsidR="005D741A" w:rsidRDefault="005D741A" w:rsidP="005D741A">
      <w:pPr>
        <w:pStyle w:val="a9"/>
        <w:numPr>
          <w:ilvl w:val="0"/>
          <w:numId w:val="4"/>
        </w:numPr>
        <w:rPr>
          <w:lang w:val="en-US"/>
        </w:rPr>
      </w:pPr>
      <w:r>
        <w:rPr>
          <w:lang w:val="en-US"/>
        </w:rPr>
        <w:t>Obtain distribution for real and imaginary part of frequency spectra using Fourier transformation;</w:t>
      </w:r>
    </w:p>
    <w:p w:rsidR="005D741A" w:rsidRDefault="005D741A" w:rsidP="005D741A">
      <w:pPr>
        <w:pStyle w:val="a9"/>
        <w:numPr>
          <w:ilvl w:val="0"/>
          <w:numId w:val="4"/>
        </w:numPr>
        <w:rPr>
          <w:lang w:val="en-US"/>
        </w:rPr>
      </w:pPr>
      <w:r>
        <w:rPr>
          <w:lang w:val="en-US"/>
        </w:rPr>
        <w:t>Fit these distributions using two gaussian hypotheses;</w:t>
      </w:r>
    </w:p>
    <w:p w:rsidR="005D741A" w:rsidRDefault="005D741A" w:rsidP="005D741A">
      <w:pPr>
        <w:pStyle w:val="a9"/>
        <w:numPr>
          <w:ilvl w:val="0"/>
          <w:numId w:val="4"/>
        </w:numPr>
        <w:rPr>
          <w:lang w:val="en-US"/>
        </w:rPr>
      </w:pPr>
      <w:r>
        <w:rPr>
          <w:lang w:val="en-US"/>
        </w:rPr>
        <w:t>Generate random spectrum out of these distributions;</w:t>
      </w:r>
    </w:p>
    <w:p w:rsidR="005D741A" w:rsidRDefault="005D741A" w:rsidP="005D741A">
      <w:pPr>
        <w:pStyle w:val="a9"/>
        <w:numPr>
          <w:ilvl w:val="0"/>
          <w:numId w:val="4"/>
        </w:numPr>
        <w:rPr>
          <w:lang w:val="en-US"/>
        </w:rPr>
      </w:pPr>
      <w:r>
        <w:rPr>
          <w:lang w:val="en-US"/>
        </w:rPr>
        <w:lastRenderedPageBreak/>
        <w:t>Use inverse Fourier transformation to obtain spectrum of generated events.</w:t>
      </w:r>
    </w:p>
    <w:p w:rsidR="005D741A" w:rsidRDefault="005D741A" w:rsidP="005D741A">
      <w:pPr>
        <w:rPr>
          <w:lang w:val="en-US"/>
        </w:rPr>
      </w:pPr>
      <w:r>
        <w:rPr>
          <w:lang w:val="en-US"/>
        </w:rPr>
        <w:t>Figures below demonstrate that such procedure generate same (as data</w:t>
      </w:r>
      <w:r w:rsidR="0028386D">
        <w:rPr>
          <w:lang w:val="en-US"/>
        </w:rPr>
        <w:t xml:space="preserve"> plotted in green</w:t>
      </w:r>
      <w:r>
        <w:rPr>
          <w:lang w:val="en-US"/>
        </w:rPr>
        <w:t>) spectrum on absolute value, as well as</w:t>
      </w:r>
      <w:r w:rsidR="009E70F3">
        <w:rPr>
          <w:lang w:val="en-US"/>
        </w:rPr>
        <w:t xml:space="preserve"> argument one for all cases</w:t>
      </w:r>
      <w:r w:rsidR="00832EA5">
        <w:rPr>
          <w:lang w:val="en-US"/>
        </w:rPr>
        <w:t xml:space="preserve"> (these yellow spectra corresponds to the generated events)</w:t>
      </w:r>
      <w:r w:rsidR="009E70F3">
        <w:rPr>
          <w:lang w:val="en-US"/>
        </w:rPr>
        <w:t>.</w:t>
      </w:r>
      <w:r w:rsidR="0028386D">
        <w:rPr>
          <w:lang w:val="en-US"/>
        </w:rPr>
        <w:t xml:space="preserve"> The fitted curves are presented by red line. </w:t>
      </w:r>
      <w:bookmarkStart w:id="0" w:name="_GoBack"/>
      <w:bookmarkEnd w:id="0"/>
    </w:p>
    <w:p w:rsidR="00453844" w:rsidRPr="005D741A" w:rsidRDefault="00453844" w:rsidP="005D741A">
      <w:pPr>
        <w:rPr>
          <w:lang w:val="en-US"/>
        </w:rPr>
      </w:pPr>
      <w:r>
        <w:rPr>
          <w:lang w:val="en-US"/>
        </w:rPr>
        <w:t>The example of generated event is presented below.</w:t>
      </w:r>
    </w:p>
    <w:p w:rsidR="009462A0" w:rsidRDefault="005D741A" w:rsidP="00785CF8">
      <w:pPr>
        <w:rPr>
          <w:lang w:val="en-US"/>
        </w:rPr>
      </w:pPr>
      <w:r>
        <w:rPr>
          <w:noProof/>
        </w:rPr>
        <w:drawing>
          <wp:inline distT="0" distB="0" distL="0" distR="0">
            <wp:extent cx="5940425" cy="4455319"/>
            <wp:effectExtent l="0" t="0" r="3175" b="2540"/>
            <wp:docPr id="1" name="Рисунок 1" descr="https://aleksha.space/event/CHA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leksha.space/event/CHANNE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4455319"/>
                    </a:xfrm>
                    <a:prstGeom prst="rect">
                      <a:avLst/>
                    </a:prstGeom>
                    <a:noFill/>
                    <a:ln>
                      <a:noFill/>
                    </a:ln>
                  </pic:spPr>
                </pic:pic>
              </a:graphicData>
            </a:graphic>
          </wp:inline>
        </w:drawing>
      </w:r>
    </w:p>
    <w:p w:rsidR="005D741A" w:rsidRDefault="005D741A" w:rsidP="00785CF8">
      <w:pPr>
        <w:rPr>
          <w:lang w:val="en-US"/>
        </w:rPr>
      </w:pPr>
      <w:r>
        <w:rPr>
          <w:noProof/>
        </w:rPr>
        <w:lastRenderedPageBreak/>
        <w:drawing>
          <wp:inline distT="0" distB="0" distL="0" distR="0">
            <wp:extent cx="5940425" cy="4455319"/>
            <wp:effectExtent l="0" t="0" r="3175" b="2540"/>
            <wp:docPr id="2" name="Рисунок 2" descr="https://aleksha.space/event/CHA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leksha.space/event/CHANNE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4455319"/>
                    </a:xfrm>
                    <a:prstGeom prst="rect">
                      <a:avLst/>
                    </a:prstGeom>
                    <a:noFill/>
                    <a:ln>
                      <a:noFill/>
                    </a:ln>
                  </pic:spPr>
                </pic:pic>
              </a:graphicData>
            </a:graphic>
          </wp:inline>
        </w:drawing>
      </w:r>
      <w:r>
        <w:rPr>
          <w:noProof/>
        </w:rPr>
        <w:drawing>
          <wp:inline distT="0" distB="0" distL="0" distR="0">
            <wp:extent cx="5940425" cy="4455319"/>
            <wp:effectExtent l="0" t="0" r="3175" b="2540"/>
            <wp:docPr id="3" name="Рисунок 3" descr="https://aleksha.space/event/CHA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leksha.space/event/CHANNE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4455319"/>
                    </a:xfrm>
                    <a:prstGeom prst="rect">
                      <a:avLst/>
                    </a:prstGeom>
                    <a:noFill/>
                    <a:ln>
                      <a:noFill/>
                    </a:ln>
                  </pic:spPr>
                </pic:pic>
              </a:graphicData>
            </a:graphic>
          </wp:inline>
        </w:drawing>
      </w:r>
    </w:p>
    <w:p w:rsidR="00453844" w:rsidRPr="00281F6F" w:rsidRDefault="00453844" w:rsidP="00785CF8">
      <w:pPr>
        <w:rPr>
          <w:lang w:val="en-US"/>
        </w:rPr>
      </w:pPr>
      <w:r>
        <w:rPr>
          <w:noProof/>
        </w:rPr>
        <w:lastRenderedPageBreak/>
        <w:drawing>
          <wp:inline distT="0" distB="0" distL="0" distR="0">
            <wp:extent cx="5940425" cy="4455319"/>
            <wp:effectExtent l="0" t="0" r="3175" b="2540"/>
            <wp:docPr id="4" name="Рисунок 4" descr="https://aleksha.space/event/GEN_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leksha.space/event/GEN_EVE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4455319"/>
                    </a:xfrm>
                    <a:prstGeom prst="rect">
                      <a:avLst/>
                    </a:prstGeom>
                    <a:noFill/>
                    <a:ln>
                      <a:noFill/>
                    </a:ln>
                  </pic:spPr>
                </pic:pic>
              </a:graphicData>
            </a:graphic>
          </wp:inline>
        </w:drawing>
      </w:r>
    </w:p>
    <w:p w:rsidR="00611DF4" w:rsidRDefault="00611DF4" w:rsidP="00611DF4">
      <w:pPr>
        <w:pStyle w:val="1"/>
        <w:rPr>
          <w:lang w:val="en-US"/>
        </w:rPr>
      </w:pPr>
      <w:r>
        <w:rPr>
          <w:lang w:val="en-US"/>
        </w:rPr>
        <w:t xml:space="preserve">Analysis reproducibility </w:t>
      </w:r>
    </w:p>
    <w:p w:rsidR="00611DF4" w:rsidRDefault="00611DF4" w:rsidP="00611DF4">
      <w:pPr>
        <w:jc w:val="both"/>
        <w:rPr>
          <w:lang w:val="en-US"/>
        </w:rPr>
      </w:pPr>
      <w:r>
        <w:rPr>
          <w:lang w:val="en-US"/>
        </w:rPr>
        <w:t>The analysis code is stored publicly [</w:t>
      </w:r>
      <w:r w:rsidR="00447A88">
        <w:rPr>
          <w:lang w:val="en-US"/>
        </w:rPr>
        <w:t>2</w:t>
      </w:r>
      <w:r>
        <w:rPr>
          <w:lang w:val="en-US"/>
        </w:rPr>
        <w:t>].</w:t>
      </w:r>
    </w:p>
    <w:p w:rsidR="00EE4E61" w:rsidRPr="00611DF4" w:rsidRDefault="00EE4E61" w:rsidP="00611DF4">
      <w:pPr>
        <w:jc w:val="both"/>
        <w:rPr>
          <w:lang w:val="en-US"/>
        </w:rPr>
      </w:pPr>
      <w:r>
        <w:rPr>
          <w:lang w:val="en-US"/>
        </w:rPr>
        <w:t xml:space="preserve">Note that code </w:t>
      </w:r>
      <w:proofErr w:type="gramStart"/>
      <w:r>
        <w:rPr>
          <w:lang w:val="en-US"/>
        </w:rPr>
        <w:t>have to</w:t>
      </w:r>
      <w:proofErr w:type="gramEnd"/>
      <w:r>
        <w:rPr>
          <w:lang w:val="en-US"/>
        </w:rPr>
        <w:t xml:space="preserve"> and will be refactored in future.</w:t>
      </w:r>
    </w:p>
    <w:p w:rsidR="004E2F20" w:rsidRDefault="00785CF8" w:rsidP="004E2F20">
      <w:pPr>
        <w:pStyle w:val="1"/>
        <w:rPr>
          <w:lang w:val="en-US"/>
        </w:rPr>
      </w:pPr>
      <w:r>
        <w:rPr>
          <w:lang w:val="en-US"/>
        </w:rPr>
        <w:t>References</w:t>
      </w:r>
    </w:p>
    <w:p w:rsidR="00B34692" w:rsidRDefault="00857C2C" w:rsidP="00611DF4">
      <w:pPr>
        <w:pStyle w:val="a9"/>
        <w:numPr>
          <w:ilvl w:val="0"/>
          <w:numId w:val="1"/>
        </w:numPr>
        <w:rPr>
          <w:lang w:val="en-US"/>
        </w:rPr>
      </w:pPr>
      <w:hyperlink r:id="rId23" w:anchor="scipy.fftpack.fft" w:history="1">
        <w:r w:rsidR="00B34692" w:rsidRPr="001B52E6">
          <w:rPr>
            <w:rStyle w:val="aa"/>
            <w:lang w:val="en-US"/>
          </w:rPr>
          <w:t>https://docs.scipy.org/doc/scipy/reference/generated/scipy.fftpack.fft.html#scipy.fftpack.fft</w:t>
        </w:r>
      </w:hyperlink>
    </w:p>
    <w:p w:rsidR="00611DF4" w:rsidRDefault="00857C2C" w:rsidP="00611DF4">
      <w:pPr>
        <w:pStyle w:val="a9"/>
        <w:numPr>
          <w:ilvl w:val="0"/>
          <w:numId w:val="1"/>
        </w:numPr>
        <w:rPr>
          <w:lang w:val="en-US"/>
        </w:rPr>
      </w:pPr>
      <w:hyperlink r:id="rId24" w:history="1">
        <w:r w:rsidR="00611DF4" w:rsidRPr="00D272D8">
          <w:rPr>
            <w:rStyle w:val="aa"/>
            <w:lang w:val="en-US"/>
          </w:rPr>
          <w:t>https://github.com/aleksha/G4-Models</w:t>
        </w:r>
      </w:hyperlink>
      <w:r w:rsidR="00611DF4">
        <w:rPr>
          <w:lang w:val="en-US"/>
        </w:rPr>
        <w:t xml:space="preserve"> </w:t>
      </w:r>
    </w:p>
    <w:p w:rsidR="00464B6F" w:rsidRPr="00734E17" w:rsidRDefault="00A07B66" w:rsidP="00285017">
      <w:pPr>
        <w:pStyle w:val="a9"/>
        <w:rPr>
          <w:lang w:val="en-US"/>
        </w:rPr>
      </w:pPr>
      <w:r>
        <w:rPr>
          <w:lang w:val="en-US"/>
        </w:rPr>
        <w:t xml:space="preserve"> </w:t>
      </w:r>
    </w:p>
    <w:sectPr w:rsidR="00464B6F" w:rsidRPr="00734E17">
      <w:headerReference w:type="even" r:id="rId25"/>
      <w:headerReference w:type="default" r:id="rId26"/>
      <w:footerReference w:type="even" r:id="rId27"/>
      <w:footerReference w:type="default" r:id="rId28"/>
      <w:headerReference w:type="first" r:id="rId29"/>
      <w:footerReference w:type="first" r:id="rId3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7C2C" w:rsidRDefault="00857C2C" w:rsidP="00B010A4">
      <w:pPr>
        <w:spacing w:after="0" w:line="240" w:lineRule="auto"/>
      </w:pPr>
      <w:r>
        <w:separator/>
      </w:r>
    </w:p>
  </w:endnote>
  <w:endnote w:type="continuationSeparator" w:id="0">
    <w:p w:rsidR="00857C2C" w:rsidRDefault="00857C2C" w:rsidP="00B01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0A4" w:rsidRDefault="00B010A4">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3238082"/>
      <w:docPartObj>
        <w:docPartGallery w:val="Page Numbers (Bottom of Page)"/>
        <w:docPartUnique/>
      </w:docPartObj>
    </w:sdtPr>
    <w:sdtEndPr/>
    <w:sdtContent>
      <w:p w:rsidR="00B010A4" w:rsidRDefault="00B010A4">
        <w:pPr>
          <w:pStyle w:val="af"/>
          <w:jc w:val="right"/>
        </w:pPr>
        <w:r>
          <w:fldChar w:fldCharType="begin"/>
        </w:r>
        <w:r>
          <w:instrText>PAGE   \* MERGEFORMAT</w:instrText>
        </w:r>
        <w:r>
          <w:fldChar w:fldCharType="separate"/>
        </w:r>
        <w:r>
          <w:t>2</w:t>
        </w:r>
        <w:r>
          <w:fldChar w:fldCharType="end"/>
        </w:r>
      </w:p>
    </w:sdtContent>
  </w:sdt>
  <w:p w:rsidR="00B010A4" w:rsidRDefault="00B010A4">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0A4" w:rsidRDefault="00B010A4">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7C2C" w:rsidRDefault="00857C2C" w:rsidP="00B010A4">
      <w:pPr>
        <w:spacing w:after="0" w:line="240" w:lineRule="auto"/>
      </w:pPr>
      <w:r>
        <w:separator/>
      </w:r>
    </w:p>
  </w:footnote>
  <w:footnote w:type="continuationSeparator" w:id="0">
    <w:p w:rsidR="00857C2C" w:rsidRDefault="00857C2C" w:rsidP="00B01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0A4" w:rsidRDefault="00B010A4">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0A4" w:rsidRDefault="00B010A4">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0A4" w:rsidRDefault="00B010A4">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E04FF"/>
    <w:multiLevelType w:val="hybridMultilevel"/>
    <w:tmpl w:val="D8F27E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A694080"/>
    <w:multiLevelType w:val="hybridMultilevel"/>
    <w:tmpl w:val="44A27C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32548DC"/>
    <w:multiLevelType w:val="hybridMultilevel"/>
    <w:tmpl w:val="DB341C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3D53719"/>
    <w:multiLevelType w:val="hybridMultilevel"/>
    <w:tmpl w:val="FE6AEC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ACC"/>
    <w:rsid w:val="0001150D"/>
    <w:rsid w:val="00052E87"/>
    <w:rsid w:val="00060D1A"/>
    <w:rsid w:val="00063A5F"/>
    <w:rsid w:val="00066CBF"/>
    <w:rsid w:val="00071A21"/>
    <w:rsid w:val="000965C1"/>
    <w:rsid w:val="000A6461"/>
    <w:rsid w:val="000F6406"/>
    <w:rsid w:val="001360E5"/>
    <w:rsid w:val="00151490"/>
    <w:rsid w:val="001909C8"/>
    <w:rsid w:val="001A2BE2"/>
    <w:rsid w:val="00205E8C"/>
    <w:rsid w:val="002517D7"/>
    <w:rsid w:val="00261859"/>
    <w:rsid w:val="00270C84"/>
    <w:rsid w:val="00272ACC"/>
    <w:rsid w:val="00273FCF"/>
    <w:rsid w:val="00281B5F"/>
    <w:rsid w:val="00281F6F"/>
    <w:rsid w:val="0028386D"/>
    <w:rsid w:val="00285017"/>
    <w:rsid w:val="00285364"/>
    <w:rsid w:val="002D4AE6"/>
    <w:rsid w:val="00314824"/>
    <w:rsid w:val="00315405"/>
    <w:rsid w:val="00334F1D"/>
    <w:rsid w:val="0034185B"/>
    <w:rsid w:val="003438FF"/>
    <w:rsid w:val="003665AA"/>
    <w:rsid w:val="00374E6F"/>
    <w:rsid w:val="00397D82"/>
    <w:rsid w:val="003C107B"/>
    <w:rsid w:val="003D3D36"/>
    <w:rsid w:val="003E00C8"/>
    <w:rsid w:val="00404A94"/>
    <w:rsid w:val="00432EF1"/>
    <w:rsid w:val="0044302E"/>
    <w:rsid w:val="00447A88"/>
    <w:rsid w:val="00453844"/>
    <w:rsid w:val="00453E10"/>
    <w:rsid w:val="00464B6F"/>
    <w:rsid w:val="00497113"/>
    <w:rsid w:val="004C0B53"/>
    <w:rsid w:val="004C18A2"/>
    <w:rsid w:val="004D3087"/>
    <w:rsid w:val="004E10D3"/>
    <w:rsid w:val="004E2F20"/>
    <w:rsid w:val="0055355A"/>
    <w:rsid w:val="005C6227"/>
    <w:rsid w:val="005D741A"/>
    <w:rsid w:val="00611DF4"/>
    <w:rsid w:val="006141CE"/>
    <w:rsid w:val="00622083"/>
    <w:rsid w:val="0063504B"/>
    <w:rsid w:val="0065263F"/>
    <w:rsid w:val="00655BCA"/>
    <w:rsid w:val="00660743"/>
    <w:rsid w:val="00666D48"/>
    <w:rsid w:val="006D7D46"/>
    <w:rsid w:val="006F523C"/>
    <w:rsid w:val="00720AA1"/>
    <w:rsid w:val="00725BEC"/>
    <w:rsid w:val="00734096"/>
    <w:rsid w:val="00734E17"/>
    <w:rsid w:val="00747C8D"/>
    <w:rsid w:val="00762FF8"/>
    <w:rsid w:val="00785CF8"/>
    <w:rsid w:val="007C27F6"/>
    <w:rsid w:val="007D0B65"/>
    <w:rsid w:val="007E2DFD"/>
    <w:rsid w:val="00826DFF"/>
    <w:rsid w:val="00832EA5"/>
    <w:rsid w:val="008427A2"/>
    <w:rsid w:val="00851373"/>
    <w:rsid w:val="00857C2C"/>
    <w:rsid w:val="00860279"/>
    <w:rsid w:val="00862235"/>
    <w:rsid w:val="00870A25"/>
    <w:rsid w:val="00875AB7"/>
    <w:rsid w:val="008811D9"/>
    <w:rsid w:val="00884A6B"/>
    <w:rsid w:val="0089069A"/>
    <w:rsid w:val="00895C70"/>
    <w:rsid w:val="008F2541"/>
    <w:rsid w:val="008F5D46"/>
    <w:rsid w:val="00922BC4"/>
    <w:rsid w:val="00941D6D"/>
    <w:rsid w:val="009462A0"/>
    <w:rsid w:val="009839F5"/>
    <w:rsid w:val="00983BD6"/>
    <w:rsid w:val="0099099B"/>
    <w:rsid w:val="00992668"/>
    <w:rsid w:val="00996B33"/>
    <w:rsid w:val="009A53CA"/>
    <w:rsid w:val="009B189E"/>
    <w:rsid w:val="009C4598"/>
    <w:rsid w:val="009C52FC"/>
    <w:rsid w:val="009D55B6"/>
    <w:rsid w:val="009E70F3"/>
    <w:rsid w:val="009F2C68"/>
    <w:rsid w:val="009F533A"/>
    <w:rsid w:val="00A07B66"/>
    <w:rsid w:val="00A10F8E"/>
    <w:rsid w:val="00A13E42"/>
    <w:rsid w:val="00A3187C"/>
    <w:rsid w:val="00A37C7C"/>
    <w:rsid w:val="00A518A6"/>
    <w:rsid w:val="00A56845"/>
    <w:rsid w:val="00A65729"/>
    <w:rsid w:val="00A74104"/>
    <w:rsid w:val="00A746B9"/>
    <w:rsid w:val="00A80BB4"/>
    <w:rsid w:val="00A962A9"/>
    <w:rsid w:val="00AB6864"/>
    <w:rsid w:val="00B010A4"/>
    <w:rsid w:val="00B01215"/>
    <w:rsid w:val="00B06DF1"/>
    <w:rsid w:val="00B34692"/>
    <w:rsid w:val="00B36763"/>
    <w:rsid w:val="00B908D1"/>
    <w:rsid w:val="00BE5DF3"/>
    <w:rsid w:val="00BF5764"/>
    <w:rsid w:val="00BF6C7A"/>
    <w:rsid w:val="00C50924"/>
    <w:rsid w:val="00C82EE5"/>
    <w:rsid w:val="00CA4B87"/>
    <w:rsid w:val="00CD1E76"/>
    <w:rsid w:val="00CD3445"/>
    <w:rsid w:val="00CE59FC"/>
    <w:rsid w:val="00CF2257"/>
    <w:rsid w:val="00D00C05"/>
    <w:rsid w:val="00D26D05"/>
    <w:rsid w:val="00D46F5F"/>
    <w:rsid w:val="00D71A17"/>
    <w:rsid w:val="00DE7D9A"/>
    <w:rsid w:val="00E05051"/>
    <w:rsid w:val="00E06BB9"/>
    <w:rsid w:val="00E7555C"/>
    <w:rsid w:val="00EA08F2"/>
    <w:rsid w:val="00EA66C7"/>
    <w:rsid w:val="00EC048B"/>
    <w:rsid w:val="00EC14EC"/>
    <w:rsid w:val="00EC3A48"/>
    <w:rsid w:val="00EE4E61"/>
    <w:rsid w:val="00EF2CDB"/>
    <w:rsid w:val="00EF6EF2"/>
    <w:rsid w:val="00F0029D"/>
    <w:rsid w:val="00F357DF"/>
    <w:rsid w:val="00F42EA5"/>
    <w:rsid w:val="00F52262"/>
    <w:rsid w:val="00FC67D6"/>
    <w:rsid w:val="00FD05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7CAB"/>
  <w15:chartTrackingRefBased/>
  <w15:docId w15:val="{65E8D6EC-83D9-4E28-A760-2F5BFFCDE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464B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E2F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72A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72A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72ACC"/>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272ACC"/>
    <w:rPr>
      <w:rFonts w:eastAsiaTheme="minorEastAsia"/>
      <w:color w:val="5A5A5A" w:themeColor="text1" w:themeTint="A5"/>
      <w:spacing w:val="15"/>
    </w:rPr>
  </w:style>
  <w:style w:type="character" w:styleId="a7">
    <w:name w:val="Book Title"/>
    <w:basedOn w:val="a0"/>
    <w:uiPriority w:val="33"/>
    <w:qFormat/>
    <w:rsid w:val="00464B6F"/>
    <w:rPr>
      <w:b/>
      <w:bCs/>
      <w:i/>
      <w:iCs/>
      <w:spacing w:val="5"/>
    </w:rPr>
  </w:style>
  <w:style w:type="character" w:styleId="a8">
    <w:name w:val="Strong"/>
    <w:basedOn w:val="a0"/>
    <w:uiPriority w:val="22"/>
    <w:qFormat/>
    <w:rsid w:val="00464B6F"/>
    <w:rPr>
      <w:b/>
      <w:bCs/>
    </w:rPr>
  </w:style>
  <w:style w:type="character" w:customStyle="1" w:styleId="10">
    <w:name w:val="Заголовок 1 Знак"/>
    <w:basedOn w:val="a0"/>
    <w:link w:val="1"/>
    <w:uiPriority w:val="9"/>
    <w:rsid w:val="00464B6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4E2F20"/>
    <w:rPr>
      <w:rFonts w:asciiTheme="majorHAnsi" w:eastAsiaTheme="majorEastAsia" w:hAnsiTheme="majorHAnsi" w:cstheme="majorBidi"/>
      <w:color w:val="2F5496" w:themeColor="accent1" w:themeShade="BF"/>
      <w:sz w:val="26"/>
      <w:szCs w:val="26"/>
    </w:rPr>
  </w:style>
  <w:style w:type="paragraph" w:styleId="a9">
    <w:name w:val="List Paragraph"/>
    <w:basedOn w:val="a"/>
    <w:uiPriority w:val="34"/>
    <w:qFormat/>
    <w:rsid w:val="00A07B66"/>
    <w:pPr>
      <w:ind w:left="720"/>
      <w:contextualSpacing/>
    </w:pPr>
  </w:style>
  <w:style w:type="character" w:styleId="aa">
    <w:name w:val="Hyperlink"/>
    <w:basedOn w:val="a0"/>
    <w:uiPriority w:val="99"/>
    <w:unhideWhenUsed/>
    <w:rsid w:val="00E05051"/>
    <w:rPr>
      <w:color w:val="0563C1" w:themeColor="hyperlink"/>
      <w:u w:val="single"/>
    </w:rPr>
  </w:style>
  <w:style w:type="character" w:styleId="ab">
    <w:name w:val="Unresolved Mention"/>
    <w:basedOn w:val="a0"/>
    <w:uiPriority w:val="99"/>
    <w:semiHidden/>
    <w:unhideWhenUsed/>
    <w:rsid w:val="00E05051"/>
    <w:rPr>
      <w:color w:val="605E5C"/>
      <w:shd w:val="clear" w:color="auto" w:fill="E1DFDD"/>
    </w:rPr>
  </w:style>
  <w:style w:type="table" w:styleId="ac">
    <w:name w:val="Table Grid"/>
    <w:basedOn w:val="a1"/>
    <w:uiPriority w:val="39"/>
    <w:rsid w:val="00066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B010A4"/>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B010A4"/>
  </w:style>
  <w:style w:type="paragraph" w:styleId="af">
    <w:name w:val="footer"/>
    <w:basedOn w:val="a"/>
    <w:link w:val="af0"/>
    <w:uiPriority w:val="99"/>
    <w:unhideWhenUsed/>
    <w:rsid w:val="00B010A4"/>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B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aleksha/G4-Model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scipy.org/doc/scipy/reference/generated/scipy.fftpack.fft.html"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5372B-474E-4949-9E7E-4386D338E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6</Pages>
  <Words>874</Words>
  <Characters>4985</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Dziuba</dc:creator>
  <cp:keywords/>
  <dc:description/>
  <cp:lastModifiedBy>Aleksei Dziuba</cp:lastModifiedBy>
  <cp:revision>27</cp:revision>
  <dcterms:created xsi:type="dcterms:W3CDTF">2018-08-15T09:00:00Z</dcterms:created>
  <dcterms:modified xsi:type="dcterms:W3CDTF">2018-08-17T08:49:00Z</dcterms:modified>
</cp:coreProperties>
</file>