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5iyv7izfkvk" w:id="0"/>
      <w:bookmarkEnd w:id="0"/>
      <w:r w:rsidDel="00000000" w:rsidR="00000000" w:rsidRPr="00000000">
        <w:rPr>
          <w:rtl w:val="0"/>
        </w:rPr>
        <w:t xml:space="preserve">Программирование для цифровых гуманитарных проектов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 модуль: Как работать с текстом на питоне? От подготовки корпуса к обработке до некоторых лингвистических метрик.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23.01 Корпус: препроцессинг и нормализация текста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6.02 Работа с корпусом: частоты, Ципф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15.02 Работа с корпусом: частоты, начала морфологии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20.02 Продвинутая морфология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1.03 Векторные модели, ключевые слова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5.03 Извлечение коллокаций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15.03 Анализ синтаксического дерева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19.03 Code Laboratory: лабораторная работа на занятии, решение кейса на основании тем третьего модуля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 модуль: расширение навыков работы с текстовым (и не только) материалом для дальнейшего анализа.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5.04 Продолжение векторных моделей: word2vec, doc2vec и другие модели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10.04 Основы веб-скрейпинга, API Telegram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19.04 Социальные сети и работа с графами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24.04 Анализ тональности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17.05 Тематическое моделирование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22.05 JSON и XML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31.05 Code laboratory: лабораторная работа на занятии, решение кейса на основании тем четвертого модуля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7.06 Визуальные данные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