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Structural Inertia and Relaxation Geometry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 Information‑Dynamic Theory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Aleksei Sadovnikov — 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sz w:val="24"/>
          <w:szCs w:val="24"/>
        </w:rPr>
        <w:t xml:space="preserve">Kingston, Jamaica — March 2026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Version 1.4 — final pre-publication revision</w:t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Abstract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We define structural inertia as mᴵᴰᵀ(u) = (uᵗGu)⁄(uᵗHu) at stable stationary regimes of the IDT gradient flow dω⁄dτ = −G⁻¹∇Φ. We prove that this quantity equals the inverse relaxation time along direction u in the linearised dynamics (Theorem 1). Non-flat Fisher geometry (G ≠ I) qualitatively changes the inertia spectrum relative to the naïve Hessian analysis; we illustrate this with an explicit Gaussian family example. Connections to sloppy model geometry, critical slowing down, and Wasserstein–Fisher–Rao (WFR) dynamics are discussed, with derivation status clearly labeled for each claim.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Keywords: information geometry; Fisher-Rao metric; relaxation spectrum; sloppy models; structural inertia; regime stability; natural gradient; critical slowing down.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0. Introduction and Motivation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Many complex systems exhibit a striking empirical phenomenon: they relax along most directions of parameter space on fast time scales, while certain ‘sloppy’ directions relax extremely slowly — sometimes by many orders of magnitude. This has been documented in systems biology models (Transtrum et al. 2011 [10]), neural networks (Hochreiter &amp; Schmidhuber 1997 [5]), and statistical physics near critical points. A related phenomenon is ‘critical slowing down’: as a system approaches a phase transition or tipping point, the slowest relaxation time diverges, providing an early-warning signal (Scheffer et al. 2009 [8]).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Existing approaches handle these phenomena separately. Sloppy models (Transtrum–Sethna) analyse the spectrum of the Fisher information matrix but do not incorporate the information-geometric metric into the curvature analysis. Critical slowing down is studied through phenomenological Jacobian eigenvalues. Neural network flatness is measured by Hessian eigenvalues without a natural geometric weighting.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Information-Dynamic Theory (IDT) provides a unified canonical framework: regimes are points ω on a manifold with Fisher metric G(ω), evolving under the gradient flow dω⁄dτ = −G⁻¹∇Φ. Linearising at a stable fixed point ω* yields a natural geometric object: the generalised Rayleigh quotient mᴵᴰᵀ(u) = (uᵗGu)⁄(uᵗHu), whose spectrum gives the inverse relaxation rates in units consistent with the Fisher geometry. This is not merely a relabelling — when G ≠ I, the inertia spectrum differs qualitatively from the naive Hessian spectrum, as shown in Section 3.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paper: (1) proves Theorem 1 establishing the relaxation-time interpretation; (2) provides the first explicit non-flat (G ≠ I) calculation using the Gaussian family; (3) connects the framework to sloppy models, critical slowing down, and replicator dynamics with explicit status labels; (4) discusses the speculative IDT–mass connection and the WFR analogy with honest caveats.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Relation to IDT-D3: the complementary result IDT-D3 (dimensional selection) shows that stable bound regimes exist uniquely in d = 3 under an effective potential motivated by Fisher geometry. Structural inertia characterises the internal relaxation geometry of any such stable regime, independent of dimensionality.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Information‑Dynamic Framework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In IDT, system regimes are represented as points ω on a manifold Ω endowed with the Fisher information metric G(ω) and the information potential Φ(ω) = −ln Z(ω). The canonical actualization law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dω⁄dτ  =  −G(ω)⁻¹ ∇Φ(ω)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where Gᵢⱼ = 𝐸ρ[sᵢ·sⱼ] is the Fisher metric (IDT canonical eq. 6) and Φ = −ln Z (eq. 2). The structural tension κ = ∇ΦᵀG⁻¹∇Φ ≥ 0 satisfies dΦ⁄dτ = −κ ≤ 0 (Lyapunov monotonicity, eq. 10).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Status: canon_derived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follows directly from IDT axioms A0–A5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Structural Inertia: Definition and Theorem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2.1 Linearised relaxation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Let ω* be a stable stationary point: ∇Φ(ω*) = 0, H := ∇²Φ(ω*) ≻ 0, G := G(ω*) ≻ 0. Set ω(τ) = ω* + δω(τ) and expand: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d(δω)⁄dτ  =  −G⁻¹H δω  +  O(|δω|²)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Domain: H ≻ 0 and G ≻ 0 must both hold; this is equivalent to ω* being a strict local minimum of Φ on the Fisher-weighted manifold.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2.2 Structural inertia definition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relaxation rate along unit direction u in the G-norm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λ_u  =  (uᵗHu) ⁄ (uᵗGu)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Structural inertia is defined as the inverse relaxation rate: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mᴵᴰᵀ(u)  :=  1⁄λ_u  =  (uᵗGu) ⁄ (uᵗHu)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2.3 Theorem 1 (Structural Inertia = Relaxation Time)</w:t>
      </w:r>
    </w:p>
    <w:p>
      <w:pPr>
        <w:pBdr>
          <w:top w:val="single" w:color="4472C4" w:sz="4"/>
          <w:bottom w:val="single" w:color="4472C4" w:sz="4"/>
        </w:pBdr>
        <w:shd w:fill="EBF3FF" w:val="clear"/>
        <w:spacing w:before="1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Theorem 1 — Relaxation Time Interpretation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Let dω⁄dτ = −G⁻¹∇Φ and let ω* be a stable stationary point with H ≻ 0, G ≻ 0.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Let λᵢ and vᵢ be the generalised eigenvalues/vectors of (H, G), i.e. H vᵢ = λᵢ G vᵢ.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Then along each eigenmode vᵢ the linearised solution is: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   δωᵢ(τ) = δωᵢ(0) · exp(−λᵢ τ)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relaxation time along vᵢ is τᵢ = 1⁄λᵢ = mᴵᴰᵀ(vᵢ).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Proof: The linearised system d(δω)⁄dτ = −G⁻¹H δω has matrix −G⁻¹H.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Eigenvectors of G⁻¹H with eigenvalue λᵢ satisfy G⁻¹H vᵢ = λᵢ vᵢ, i.e. H vᵢ = λᵢ G vᵢ.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solution is δωᵢ(τ) = exp(−λᵢ τ) δωᵢ(0). Since vᵢᵗG vᵢ &gt; 0 and vᵢᵗH vᵢ = λᵢ vᵢᵗG vᵢ,</w:t>
      </w:r>
    </w:p>
    <w:p>
      <w:pPr>
        <w:pBdr>
          <w:left w:val="single" w:color="4472C4" w:sz="8"/>
        </w:pBdr>
        <w:shd w:fill="EBF3FF" w:val="clear"/>
        <w:spacing w:after="80"/>
        <w:ind w:left="36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we get mᴵᴰᵀ(vᵢ) = (vᵢᵗG vᵢ)⁄(vᵢᵗH vᵢ) = 1⁄λᵢ = τᵢ. ∎</w:t>
      </w:r>
    </w:p>
    <w:p>
      <w:pPr>
        <w:spacing w:after="60"/>
      </w:pPr>
      <w:r>
        <w:t xml:space="preserve"/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Status: canon_derived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direct consequence of linearised canonical gradient flow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2.4 Spectral form and maximum inertia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spectral form mᵢ = 1⁄λᵢ covers all eigenmodes. The maximum structural inertia is the longest relaxation time: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m_max  =  τ_rel  =  1⁄λ_min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minimum inertia m_min = 1⁄λ_max corresponds to the stiffest (fastest-relaxing) direction.</w:t>
      </w:r>
    </w:p>
    <w:p>
      <w:pPr>
        <w:spacing w:after="14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Remark (G-orthogonality). The generalised eigenvectors vᵢ satisfying Hvᵢ = λᵢ Gvᵢ are G-orthogonal: vᵢᵗ G vᱼ = 0 for i ≠ j. Normalising as wᵢ = vᵢ⁄√(vᵢᵗ G vᵢ) yields a G-orthonormal basis in which mᴵᴰᵀ(wᵢ) = 1⁄λᵢ. This completeness ensures the spectral decomposition is exhaustive.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Examples: Flat and Non-Flat Fisher Geometry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3.1 Toy model: Euclidean case G = I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Potential: Φ(x, y) = 2x² + 0.1y², with G = I (flat parameter space, Euclidean metric).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H  =  ∇²Φ  =  diag(4, 0.2)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Generalised eigenvalues (λᵢ from Hvᵢ = λᵢ G vᵢ, G=I):  λ = [4, 0.2]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mᴵᴰᵀ = [0.25,  5.0]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Note: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G = I is a special case (Euclidean parameter space). The general formula uses the Fisher metric G ≠ I; see Section 3.2.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3.2 Non-flat example: Gaussian family with G ≠ I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Consider the Gaussian family p(x | μ, σ) = 𝒩(μ, σ²). The Fisher information metric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G(μ, σ)  =  diag(1⁄σ²,  2⁄σ²)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quadratic potential Φ(μ, σ) = aμ² + bσ² is chosen as the leading-order approximation near a generic stable minimum of the information potential. This form allows an analytically tractable demonstration of how non-flat Fisher geometry modifies the inertia spectrum relative to the Euclidean case.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Take a = 2, b = 3. Then: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H  =  ∇²Φ  =  diag(2a, 2b)  =  diag(4, 6)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Generalised eigenvalue problem H vᵢ = λᵢ G vᵢ solved analytically (diagonal case):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λ_μ  =  2aσ²  =  4σ²,          mᴵᴰᵀ(μ)  =  1⁄(2aσ²)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λ_σ  =  bσ²  =  3σ²,           mᴵᴰᵀ(σ)  =  1⁄(bσ²)  =  1⁄(bσ²)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At σ = 1: λ = [4, 3], mᴵᴰᵀ = [0.25, 0.33].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observation: </w:t>
      </w:r>
      <w:r>
        <w:rPr>
          <w:rFonts w:ascii="Arial" w:cs="Arial" w:eastAsia="Arial" w:hAnsi="Arial"/>
          <w:sz w:val="24"/>
          <w:szCs w:val="24"/>
        </w:rPr>
        <w:t xml:space="preserve">the naive analysis (G = I) would give λ(H) = [4, 6] and m = [0.25, 0.17]. The Fisher geometry correction changes both eigenvalues AND their ordering: at σ = 1 the σ-direction has larger inertia (0.33) than μ (0.25), the opposite of the naive Hessian prediction.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Fisher geometry correction: </w:t>
      </w:r>
      <w:r>
        <w:rPr>
          <w:rFonts w:ascii="Arial" w:cs="Arial" w:eastAsia="Arial" w:hAnsi="Arial"/>
          <w:sz w:val="24"/>
          <w:szCs w:val="24"/>
        </w:rPr>
        <w:t xml:space="preserve">the inertia scales as σ², meaning that as the regime becomes more spread out (larger σ), both mᴵᴰᵀ values grow proportionally. This is invisible in the G = I analysis.</w:t>
      </w:r>
    </w:p>
    <w:p>
      <w:pPr>
        <w:spacing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5143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Figure 1. Left: structural inertia for μ and σ directions vs. σ, comparing non-flat G (solid) and flat G = I (dashed). Right: ratio non-flat⁄flat = σ², showing the Fisher geometry correction grows with scale parameter.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Relaxation Spectrum and Sloppy Geometry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4.1 Exponential decay and sloppy spectra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By Theorem 1, relaxation along eigenmode vᵢ is: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δωᵢ(τ)  =  δωᵢ(0) · e^(−λᵢ τ)  =  δωᵢ(0) · e^(−τ⁄mᵢ)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Complex model manifolds (sloppy models, Transtrum–Machta–Sethna [10]) exhibit exponentially separated eigenvalues spanning many decades. In IDT language: these are directions with mᵢ ranging from O(1) to O(10⁶) or more.</w:t>
      </w:r>
    </w:p>
    <w:p>
      <w:pPr>
        <w:spacing w:after="60"/>
      </w:pPr>
      <w:r>
        <w:t xml:space="preserve"/>
      </w:r>
    </w:p>
    <w:p>
      <w:pPr>
        <w:spacing w:before="120" w:after="60"/>
        <w:jc w:val="center"/>
      </w:pPr>
      <w:r>
        <w:drawing>
          <wp:inline distT="0" distB="0" distL="0" distR="0">
            <wp:extent cx="4953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Figure 2. Left: eigenvalue spectrum λᵢ spanning six decades (20 modes). Right: structural inertia spectrum mᵢ = 1⁄λᵢ. Mode 1 is fastest (m = 1), mode 20 is slowest (m = 10⁶). This six-decade separation is characteristic of sloppy models.</w:t>
      </w:r>
    </w:p>
    <w:p>
      <w:pPr>
        <w:spacing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 i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λᵢ (rate)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mᵢ = 1/λᵢ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Relaxation time scale</w:t>
            </w:r>
          </w:p>
        </w:tc>
      </w:tr>
      <w:tr>
        <w:tc>
          <w:tcPr>
            <w:tcW w:type="dxa" w:w="1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10⁰ = 1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10⁰ = 1</w:t>
            </w:r>
          </w:p>
        </w:tc>
        <w:tc>
          <w:tcPr>
            <w:tcW w:type="dxa" w:w="3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very fast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10⁻²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10²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fast</w:t>
            </w:r>
          </w:p>
        </w:tc>
      </w:tr>
      <w:tr>
        <w:tc>
          <w:tcPr>
            <w:tcW w:type="dxa" w:w="1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10⁻⁴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10⁴</w:t>
            </w:r>
          </w:p>
        </w:tc>
        <w:tc>
          <w:tcPr>
            <w:tcW w:type="dxa" w:w="3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10⁻⁶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10⁶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slow</w:t>
            </w:r>
          </w:p>
        </w:tc>
      </w:tr>
      <w:tr>
        <w:tc>
          <w:tcPr>
            <w:tcW w:type="dxa" w:w="1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20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10⁻⁶·³</w:t>
            </w:r>
          </w:p>
        </w:tc>
        <w:tc>
          <w:tcPr>
            <w:tcW w:type="dxa" w:w="20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10⁶·³</w:t>
            </w:r>
          </w:p>
        </w:tc>
        <w:tc>
          <w:tcPr>
            <w:tcW w:type="dxa" w:w="3500"/>
            <w:shd w:fill="F5F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extremely slow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Such exponentially separated hierarchies are typical in sloppy models and are naturally quantified by the structural inertia spectrum.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4.2 Connection to G ≠ I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For non-flat G, the sloppy directions are determined by the generalised spectrum of (H, G), not H alone. The natural gradient (Fisher-weighted gradient) corrects for the metric, so the ‘true’ sloppy directions in information-geometric sense may differ from the naive Hessian analysis.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Unlike direct eigenvalue analysis of the Hessian H or the Fisher information matrix G alone, structural inertia uses the generalised eigenvalue problem H v = λ G v. This properly incorporates the information-geometric metric and can reverse mode ordering or rescale eigenvalues by orders of magnitude when G is strongly anisotropic — effects entirely invisible in standard Hessian- or FIM-based approaches.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Status: strengthened_consistent_extension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sloppy-model analogy; IDT spectral interpretation is canon-derived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Critical Slowing Down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2E5A9C"/>
          <w:sz w:val="24"/>
          <w:szCs w:val="24"/>
        </w:rPr>
        <w:t xml:space="preserve">Corollary 1 (Critical Slowing Down).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Near a bifurcation or phase transition, the smallest eigenvalue λ_min → 0 as the system approaches the critical point. By Theorem 1: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m_max  =  1⁄λ_min  →  ∞   as  λ_min → 0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This is ‘critical slowing down’ in IDT language: structural inertia diverges as H approaches singularity (the Hessian loses positive-definiteness). The standard early-warning signals for tipping points (Scheffer et al. 2009 [8]) — increasing return time, rising variance, increasing autocorrelation — all correspond to growing mᴵᴰᵀ.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Measurement proposal: </w:t>
      </w:r>
      <w:r>
        <w:rPr>
          <w:rFonts w:ascii="Arial" w:cs="Arial" w:eastAsia="Arial" w:hAnsi="Arial"/>
          <w:sz w:val="24"/>
          <w:szCs w:val="24"/>
        </w:rPr>
        <w:t xml:space="preserve">in empirical tipping-point data, mᴵᴰᵀ can be estimated from the time series of regime perturbations (rate of return to equilibrium gives λ_min; inertia is its reciprocal). This connects the abstract IDT quantity to observable data.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In practice, λ_min (hence m_max) can be estimated from perturbation experiments: apply small regime shifts, record return-to-equilibrium time series, and fit exponential decay rates. Complementary proxies include rising autocorrelation time and fluctuation variance in quasi-stationary regimes — protocols already used in ecological tipping-point studies [8] and directly adaptable to neural networks or population models.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1E6B2E"/>
          <w:sz w:val="22"/>
          <w:szCs w:val="22"/>
        </w:rPr>
        <w:t xml:space="preserve">Status: canon_derived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direct consequence of Theorem 1 and H → singular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Population Dynamics Interpretation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Replicator equations in evolutionary game theory under the Shahshahani metric (Fisher metric on the probability simplex) have the form: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dpᵢ⁄dt  =  pᵢ(fᵢ(p) − f̅(p))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Under the potential-game condition — i.e. when the fitness landscape admits a potential function V(p) such that fᵢ(p) − f̅(p) = ∂V⁄∂pᵢ — this is a Fisher–Rao gradient flow: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dp⁄dt  =  −G_Shahshahani⁻¹ ∇V(p)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Under this condition, slow population adjustments correspond to large structural inertia mᴵᴰᵀ along the sloppy directions of V.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Important: </w:t>
      </w:r>
      <w:r>
        <w:rPr>
          <w:rFonts w:ascii="Arial" w:cs="Arial" w:eastAsia="Arial" w:hAnsi="Arial"/>
          <w:i/>
          <w:iCs/>
          <w:color w:val="7B4800"/>
          <w:sz w:val="24"/>
          <w:szCs w:val="24"/>
        </w:rPr>
        <w:t xml:space="preserve">the potential-game condition is not satisfied by general replicator equations (e.g. zero-sum games). Without it, the gradient-flow interpretation fails. See Harper (2009) [4] for the precise conditions.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7B4800"/>
          <w:sz w:val="22"/>
          <w:szCs w:val="22"/>
        </w:rPr>
        <w:t xml:space="preserve">Status: strengthened_consistent_extension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valid only under potential-game condition; not general replicator dynamics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Wasserstein–Fisher–Rao Extension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Wasserstein–Fisher–Rao (WFR) metric on the space of positive measures combines optimal transport (W₂) with Fisher–Rao birth-death geometry: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WFR²(ρ₀,ρ₁)  =  W₂²(ρ₀,ρ₁)  +  λ FR²(ρ₀,ρ₁)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Crucinio &amp; Pathiraja (2025) [3] show that operator splitting schemes alternating transport and reaction steps exhibit accelerated convergence, which qualitatively resembles an inertial effect in the dynamics.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Precise status (interpretational analogy only): </w:t>
      </w:r>
      <w:r>
        <w:rPr>
          <w:rFonts w:ascii="Arial" w:cs="Arial" w:eastAsia="Arial" w:hAnsi="Arial"/>
          <w:color w:val="7B4800"/>
          <w:sz w:val="24"/>
          <w:szCs w:val="24"/>
        </w:rPr>
        <w:t xml:space="preserve"> the Fisher–Rao component of WFR uses the same Fisher geometry as IDT's G, and the splitting acceleration resembles the slow-fast decomposition captured by mᴵᴰᵀ. However, no derivation of the WFR dynamics from IDT axioms A0–A5 currently exists. The connection is a conceptual analogy, not a theorem.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Note: the Fisher–Rao component of WFR coincides with the IDT canonical flow, making the analogy structurally motivated. Rigorous derivation from IDT axioms remains open (GAP-WFR).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Status: conjecture / interpretational analogy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interpretational analogy; no derivation from IDT axioms. No derivation currently exists.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Applications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8.1 Neural Networks: Flat Minima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In neural network loss landscapes, flat minima — regions of small curvature — are empirically associated with better generalisation (Hochreiter &amp; Schmidhuber 1997 [5]). In IDT language:</w:t>
      </w:r>
    </w:p>
    <w:p>
      <w:pPr>
        <w:shd w:fill="F0F4FF" w:val="clear"/>
        <w:spacing w:before="100" w:after="100"/>
        <w:ind w:left="720"/>
      </w:pPr>
      <w:r>
        <w:rPr>
          <w:rFonts w:ascii="Courier New" w:cs="Courier New" w:eastAsia="Courier New" w:hAnsi="Courier New"/>
          <w:color w:val="1A1A6A"/>
          <w:sz w:val="22"/>
          <w:szCs w:val="22"/>
        </w:rPr>
        <w:t xml:space="preserve">Small  H eigenvalues  ⇒  small λᵢ  ⇒  large mᴵᴰᵀ  ⇒  slow dynamics near the minimum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optimizer (stochastic gradient descent) spends more time near flat minima because the gradient flow has small κ = ∇ΦᵀG⁻¹∇Φ in those regions. This is a direct consequence of the Lyapunov monotonicity dΦ⁄dτ = −κ.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Connection to Fisher geometry: with G ≠ I (when using natural gradient methods), the flat-minima identification changes because the relevant curvature is (H,G) not H alone. This is a quantitative prediction of the IDT framework.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8.2 Critical Systems and Tipping Points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As established in Section 5, m_max → ∞ near criticality. The IDT framework gives a geometric meaning to early-warning signals: they measure the growth of structural inertia in the direction of the neutrally stable mode. This connects ecological tipping points (Scheffer et al. 2009 [8]) and physical phase transitions into the same IDT language.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5A9C"/>
          <w:sz w:val="28"/>
          <w:szCs w:val="28"/>
        </w:rPr>
        <w:t xml:space="preserve">8.3 Ecology and Socio‑Dynamics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Slow regime shifts in complex adaptive systems correspond to large mᴵᴰᵀ along the transition direction. The Fisher metric G encodes the information-geometric sensitivity of the system: regimes near the boundary of stability have small λ_min and large m_max, providing a quantitative measure of ‘lock-in’.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Speculative Connection: Structural Inertia and Mass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most ambitious open question in the IDT program is whether mᴵᴰᵀ connects to physical mass. We state this honestly as speculation, not a result.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The structural tension κ(ω) = ∇ΦᵀG⁻¹∇Φ plays the role of an energy density along the actualization flow. The IDT-D3 result (CE09) shows that in d = 3, the effective potential Φ_eff(r) = A⁄r² − B⁄r has a stable minimum with κ &gt; 0 at r* = 2A⁄B. Near this minimum, the structural inertia spectrum mᴵᴰᵀ characterises resistance to perturbation — analogously to inertial mass.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Tentative conjecture: </w:t>
      </w: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 at a stable IDT regime, the effective inertial mass along a perturbation direction u could scale as mᴵᴰᵀ(u) in appropriate units. This would connect the relaxation-time interpretation to the IDT-D3 dimensional selection. However, the identification of τ (IDT internal time) with physical time t remains an open gap (GAP-3 in the IDT program). Until this bridge is built, the mass connection is a dimensional analogy.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Future work: if one can show mᴵᴰᵀ ∼ curvature of the regime manifold in the sense of sectional curvature of (Ω, G), this would connect to differential-geometric notions of inertia. The d = 3 result of IDT-D3 would then suggest a geometric reason why physical mass arises in three dimensions.</w:t>
      </w:r>
    </w:p>
    <w:p>
      <w:pPr>
        <w:spacing w:before="60" w:after="14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▶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Status: conjecture / interpretational analogy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 speculative program; no derivation currently exists. Requires closing GAP-3 (τ → t bridge) first.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Limitations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Structural inertia mᴵᴰᵀ as defined in this paper has the following explicit limitations: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L1. Only defined at stable stationary points. </w:t>
      </w:r>
      <w:r>
        <w:rPr>
          <w:rFonts w:ascii="Arial" w:cs="Arial" w:eastAsia="Arial" w:hAnsi="Arial"/>
          <w:sz w:val="24"/>
          <w:szCs w:val="24"/>
        </w:rPr>
        <w:t xml:space="preserve">mᴵᴰᵀ requires H ≻ 0 and G ≻ 0 at ω*. It is not defined along trajectories, at saddle points, or near the boundary of the regime manifold where G degenerates.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L2. First-order dynamics only. </w:t>
      </w:r>
      <w:r>
        <w:rPr>
          <w:rFonts w:ascii="Arial" w:cs="Arial" w:eastAsia="Arial" w:hAnsi="Arial"/>
          <w:sz w:val="24"/>
          <w:szCs w:val="24"/>
        </w:rPr>
        <w:t xml:space="preserve">The canonical IDT flow is first-order (gradient flow). Second-order (Newtonian/Hamiltonian) dynamics are not part of the current framework. Extending to d²ω⁄dτ² dynamics is an open problem (GAP-2ND).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L3. Non-stationary regimes. </w:t>
      </w:r>
      <w:r>
        <w:rPr>
          <w:rFonts w:ascii="Arial" w:cs="Arial" w:eastAsia="Arial" w:hAnsi="Arial"/>
          <w:sz w:val="24"/>
          <w:szCs w:val="24"/>
        </w:rPr>
        <w:t xml:space="preserve">If the regime is evolving (dω⁄dτ ≠ 0), the linearised analysis breaks down. A generalisation using the instantaneous curvature would be required.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L4. Mass connection unproven. </w:t>
      </w:r>
      <w:r>
        <w:rPr>
          <w:rFonts w:ascii="Arial" w:cs="Arial" w:eastAsia="Arial" w:hAnsi="Arial"/>
          <w:sz w:val="24"/>
          <w:szCs w:val="24"/>
        </w:rPr>
        <w:t xml:space="preserve">The connection to physical mass (Section 9) is speculative and requires: (a) closing the τ → t gap, (b) a canonical derivation of the effective potential from IDT axioms. Neither is currently available.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L5. WFR link unproven. </w:t>
      </w:r>
      <w:r>
        <w:rPr>
          <w:rFonts w:ascii="Arial" w:cs="Arial" w:eastAsia="Arial" w:hAnsi="Arial"/>
          <w:sz w:val="24"/>
          <w:szCs w:val="24"/>
        </w:rPr>
        <w:t xml:space="preserve">The WFR connection (Section 7) is an interpretational analogy. No derivation from IDT axioms A0–A5 currently exists.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Open Problems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GAP-WFR: Derive the WFR-inertia connection rigorously from IDT axioms A0–A5.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GAP-2ND: Introduce second-order dynamics; structural inertia currently appears only in first-order gradient flow.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GAP-MASS: Connect mᴵᴰᵀ to physical mass; requires closing GAP-3 (τ → t bridge, critical for IDT falsifiability).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GAP-NONEUCL: Explore qualitatively different inertia spectra for other non-flat cases (e.g. Dirichlet⁄Shahshahani metric on the simplex; log-normal scale families as in IDT-D3 Appendix B).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GAP-MEASURE: Find an empirical protocol to measure mᴵᴰᵀ from time-series data (perturbation experiments, return-rate estimation).</w:t>
      </w:r>
    </w:p>
    <w:p>
      <w:pPr>
        <w:spacing w:after="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Future work will focus on closing GAP-WFR and GAP-2ND, and on exploring the connection to IDT-D3 dimensional selection (CE09).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[1] Amari, S. (2016). Information Geometry and Its Applications. Springer. DOI: 10.1007/978-4-431-55978-8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[2] Carrillo, J. A., Chen, Y., Huang, D. Z., Huang, J., &amp; Wei, D. (2024). Fisher-Rao Gradient Flow: Geodesic Convexity and Functional Inequalities. arXiv:2407.15693.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[3] Crucinio, F. R., &amp; Pathiraja, S. (2025). An operator splitting analysis of Wasserstein–Fisher–Rao gradient flows. arXiv:2511.18060.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[4] Harper, M. (2009). Replicator equations as gradient flows on the probability simplex. NIMBioS. https://math.ucr.edu/home/baez/nimbios/nimbios_harper.pdf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[5] Hochreiter, S., &amp; Schmidhuber, J. (1997). Flat minima. Neural Computation, 9(1), 1–42.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[6] Laraki, R., &amp; Mertikopoulos, P. (2013). Higher order game dynamics. Journal of Economic Theory, 148(6), 2666–2695.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[7] Ren, Y., Li, J., &amp; Zhang, T. (2024). Multi-objective optimization via Wasserstein–Fisher–Rao geometry. AISTATS 2024. https://proceedings.mlr.press/v238/ren24b.html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[8] Scheffer, M. et al. (2009). Early-warning signals for critical transitions. Nature, 461, 53–59.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[9] Sethna, J. P. (2024). Statistical Mechanics of Parameter Manifolds and Sloppy Models. Annual Review of Condensed Matter Physics.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[10] Transtrum, M. K., Machta, B. B., &amp; Sethna, J. P. (2011). Geometry of nonlinear least squares with applications to sloppy models and optimization. Phys. Rev. E 83, 036701.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 — Complete Status Table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300"/>
        <w:gridCol w:w="3960"/>
      </w:tblGrid>
      <w:tr>
        <w:trPr>
          <w:tblHeader/>
        </w:trPr>
        <w:tc>
          <w:tcPr>
            <w:tcW w:type="dxa" w:w="3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Claim</w:t>
            </w:r>
          </w:p>
        </w:tc>
        <w:tc>
          <w:tcPr>
            <w:tcW w:type="dxa" w:w="2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9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IDT canonical objects Z, Φ, G, gradient flow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IDT axioms A0–A5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Linearisation of gradient flow at ω*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Standard calculus; valid for H,G ≻ 0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Theorem 1: mᴵᴰᵀ = relaxation time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Proved in Section 2.3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Spectral form mᵢ = 1⁄λᵢ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Linear algebra of pencil (H,G)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Toy model m = [0.25, 5.0] at G=I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Explicit computation; Φ=2x²+0.1y²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Gaussian family: G ≠ I example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Exact computation for p(x|μ,σ)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Critical slowing down: m_max → ∞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Direct from Theorem 1 as λ_min → 0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Sloppy-model connection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800"/>
                <w:sz w:val="20"/>
                <w:szCs w:val="20"/>
              </w:rPr>
              <w:t xml:space="preserve">strengthened_extension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Analogy with Transtrum–Sethna; IDT spectrum is canon-derived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Replicator dynamics ↔ mᴵᴰᵀ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800"/>
                <w:sz w:val="20"/>
                <w:szCs w:val="20"/>
              </w:rPr>
              <w:t xml:space="preserve">strengthened_extension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Only under potential-game condition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WFR acceleration ↔ structural inertia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conjecture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Interpretational analogy; no IDT derivation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mᴵᴰᵀ ∼ physical mass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0000"/>
                <w:sz w:val="20"/>
                <w:szCs w:val="20"/>
              </w:rPr>
              <w:t xml:space="preserve">conjecture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Speculative; requires GAP-3 (τ → t)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G-orthogonality of eigenvectors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Standard GEP theory (H,G ≻ 0)</w:t>
            </w:r>
          </w:p>
        </w:tc>
      </w:tr>
      <w:tr>
        <w:tc>
          <w:tcPr>
            <w:tcW w:type="dxa" w:w="31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Scale-invariant ratio m(μ)⁄m(σ) = b⁄(2a)</w:t>
            </w:r>
          </w:p>
        </w:tc>
        <w:tc>
          <w:tcPr>
            <w:tcW w:type="dxa" w:w="230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2E"/>
                <w:sz w:val="20"/>
                <w:szCs w:val="20"/>
              </w:rPr>
              <w:t xml:space="preserve">canon_derived</w:t>
            </w:r>
          </w:p>
        </w:tc>
        <w:tc>
          <w:tcPr>
            <w:tcW w:type="dxa" w:w="3960"/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Exact algebra; Gaussian diagonal case</w:t>
            </w:r>
          </w:p>
        </w:tc>
      </w:tr>
      <w:tr>
        <w:tc>
          <w:tcPr>
            <w:tcW w:type="dxa" w:w="3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IDT flow = Amari natural gradient</w:t>
            </w:r>
          </w:p>
        </w:tc>
        <w:tc>
          <w:tcPr>
            <w:tcW w:type="dxa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4800"/>
                <w:sz w:val="20"/>
                <w:szCs w:val="20"/>
              </w:rPr>
              <w:t xml:space="preserve">strengthened_extension</w:t>
            </w:r>
          </w:p>
        </w:tc>
        <w:tc>
          <w:tcPr>
            <w:tcW w:type="dxa" w:w="39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Structural identification; Amari [1]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B — Changelog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v1.0 → v1.1: </w:t>
      </w:r>
      <w:r>
        <w:rPr>
          <w:rFonts w:ascii="Arial" w:cs="Arial" w:eastAsia="Arial" w:hAnsi="Arial"/>
          <w:sz w:val="24"/>
          <w:szCs w:val="24"/>
        </w:rPr>
        <w:t xml:space="preserve">SI-1 (toy model fix), SI-2 (replicator condition), SI-3 (full references), ERR-2 (domain), status badges.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v1.1 → v1.2: </w:t>
      </w:r>
      <w:r>
        <w:rPr>
          <w:rFonts w:ascii="Arial" w:cs="Arial" w:eastAsia="Arial" w:hAnsi="Arial"/>
          <w:sz w:val="24"/>
          <w:szCs w:val="24"/>
        </w:rPr>
        <w:t xml:space="preserve">Added Introduction/Motivation (Sec. 0); Theorem 1 with proof; non-flat Gaussian example with Figure 1; sloppy spectrum Figure 2; critical slowing down section; Section 9 (mass speculation with honest caveats); Section 10 (Limitations); expanded GAP list; WFR status upgraded to interpretational analogy with explicit statement of no-derivation.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v1.2 → v1.3: </w:t>
      </w:r>
      <w:r>
        <w:rPr>
          <w:rFonts w:ascii="Arial" w:cs="Arial" w:eastAsia="Arial" w:hAnsi="Arial"/>
          <w:sz w:val="24"/>
          <w:szCs w:val="24"/>
        </w:rPr>
        <w:t xml:space="preserve">G-orthogonality remark (Sec. 2.4); scale-invariant ratio m(μ)/m(σ) = b⁄(2a) (Sec. 3.2); Corollary 1 formalised; natural gradient connection (Sec. 4.2); citation [6] anchored; ecology strengthened with [8]; IDT-D3 DOI added; Appendix C updated.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v1.3 → v1.4: </w:t>
      </w:r>
      <w:r>
        <w:rPr>
          <w:rFonts w:ascii="Arial" w:cs="Arial" w:eastAsia="Arial" w:hAnsi="Arial"/>
          <w:sz w:val="24"/>
          <w:szCs w:val="24"/>
        </w:rPr>
        <w:t xml:space="preserve">High-quality Figures 1 &amp; 2 (matplotlib 200 dpi, 20 modes); sloppy spectrum table (Sec. 4.1); potential motivation paragraph (Sec. 3.2); generalised eigenvalue comparison (Sec. 4.2); expanded measurement protocol (Sec. 5); WFR speculative paragraph trimmed to one sentence.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4472C4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C — Zenodo Metadata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Title: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Structural Inertia and Relaxation Geometry in Information-Dynamic Theory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Authors:</w:t>
      </w:r>
    </w:p>
    <w:p>
      <w:pPr>
        <w:spacing w:after="140"/>
      </w:pPr>
      <w:r>
        <w:rPr>
          <w:rFonts w:ascii="Arial" w:cs="Arial" w:eastAsia="Arial" w:hAnsi="Arial"/>
          <w:sz w:val="24"/>
          <w:szCs w:val="24"/>
        </w:rPr>
        <w:t xml:space="preserve">Aleksei Sadovnikov, Independent Researcher, Kingston, Jamaica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Abstract: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We define structural inertia m_IDT(u) = (uᵗGu)/(uᵗHu) at stable stationary regimes of the IDT gradient flow dω/dτ = −G⁻¹∇Φ, and prove it equals the inverse relaxation time (Theorem 1). An explicit Gaussian family example with non-flat Fisher metric G ≠ I shows qualitative differences from naive Hessian analysis. All claims beyond the canonical derivation are explicitly labeled. The WFR connection is an interpretational analogy; no derivation from IDT axioms currently exists.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License: CC BY 4.0 | Type: Preprint | Version: 1.4</w:t>
      </w: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Identifiers:
  isSupplementTo  10.5281/zenodo.18917131  (IDT Math Foundations P2)
  references      10.5281/zenodo.18931302  (IDT-D3 Dimensional Selection)
  references      10.5281/zenodo.18654781  (IDT Conceptual Theory P1)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5A9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4d79807b96b674dd3c1a1237e733298e5b3e079.png"/><Relationship Id="rId7" Type="http://schemas.openxmlformats.org/officeDocument/2006/relationships/image" Target="media/8a7ef9e5e05dc2d901cf0248880ca11672007ae8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2026-03-11T03:48:32.890Z</dcterms:created>
  <dcterms:modified xsi:type="dcterms:W3CDTF">2026-03-11T03:48:32.891Z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