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rels" ContentType="application/vnd.openxmlformats-package.relationships+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ea18dde776694d10" /></Relationships>
</file>

<file path=word/document.xml><?xml version="1.0" encoding="utf-8"?>
<w:document xmlns:r="http://schemas.openxmlformats.org/officeDocument/2006/relationships" xmlns:w="http://schemas.openxmlformats.org/wordprocessingml/2006/main">
  <w:body>
    <w:p>
      <w:pPr>
        <w:pStyle w:val="Title"/>
      </w:pPr>
      <w:r>
        <w:t>Residential mental health care NMDS 2023–24</w:t>
      </w:r>
    </w:p>
    <w:p>
      <w:pPr>
        <w:pStyle w:val="Subtitle"/>
      </w:pPr>
      <w:r>
        <w:t>Exported from METEOR</w:t>
      </w:r>
    </w:p>
    <w:p>
      <w:pPr>
        <w:pStyle w:val="Subtitle"/>
        <w:spacing w:after="2800"/>
      </w:pPr>
      <w:r>
        <w:t>(AIHW's Metadata Online Registry)</w:t>
      </w:r>
    </w:p>
    <w:p>
      <w:r>
        <w:t>© Australian Institute of Health and Welfare 2026</w:t>
      </w:r>
    </w:p>
    <w:p>
      <w:r>
        <w:t/>
      </w:r>
    </w:p>
    <w:p>
      <w:r>
        <w:t>This product, excluding the AIHW logo, Commonwealth Coat of Arms and any material owned by a third party or protected by a trademark, has been released under a Creative Commons BY 4.0 (CC BY 4.0) licence. Excluded material owned by third parties may include, for example, design and layout, images obtained under licence from third parties and signatures. We have made all reasonable efforts to identify and label material owned by third parties.</w:t>
      </w:r>
    </w:p>
    <w:p>
      <w:r>
        <w:t>You may distribute, remix and build on this website’s material but must attribute the AIHW as the copyright holder, in line with our attribution policy. The full terms and conditions of this licence are available at https://creativecommons.org/licenses/by/4.0/.</w:t>
      </w:r>
    </w:p>
    <w:p>
      <w:r>
        <w:t>Enquiries relating to copyright should be addressed to info@aihw.gov.au.</w:t>
      </w:r>
    </w:p>
    <w:p>
      <w:r>
        <w:t>Enquiries or comments on the METEOR metadata or download should be directed to the METEOR team at meteor@aihw.gov.au.</w:t>
      </w:r>
    </w:p>
    <w:p>
      <w:r>
        <w:br w:type="page"/>
      </w:r>
    </w:p>
    <w:p>
      <w:pPr>
        <w:pStyle w:val="Heading1"/>
      </w:pPr>
      <w:r>
        <w:t xml:space="preserve">Residential mental health care NMDS 2023–24</w:t>
      </w:r>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Identifying and definitional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Metadata item type:</w:t>
            </w:r>
          </w:p>
        </w:tc>
        <w:tc>
          <w:tcPr>
            <w:tcBorders>
              <w:top w:val="none" w:color="000000" w:sz="0"/>
              <w:left w:val="none" w:color="000000" w:sz="0"/>
              <w:bottom w:val="none" w:color="000000" w:sz="0"/>
              <w:right w:val="none" w:color="000000" w:sz="0"/>
            </w:tcBorders>
            <w:vAlign w:val="top"/>
          </w:tcPr>
          <w:p>
            <w:r>
              <w:t xml:space="preserve">Data Set Specification</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METEOR identifier:</w:t>
            </w:r>
          </w:p>
        </w:tc>
        <w:tc>
          <w:tcPr>
            <w:tcBorders>
              <w:top w:val="none" w:color="000000" w:sz="0"/>
              <w:left w:val="none" w:color="000000" w:sz="0"/>
              <w:bottom w:val="none" w:color="000000" w:sz="0"/>
              <w:right w:val="none" w:color="000000" w:sz="0"/>
            </w:tcBorders>
            <w:vAlign w:val="top"/>
          </w:tcPr>
          <w:p>
            <w:r>
              <w:t xml:space="preserve">756205</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Registration status:</w:t>
            </w:r>
          </w:p>
        </w:tc>
        <w:tc>
          <w:tcPr>
            <w:tcBorders>
              <w:top w:val="none" w:color="000000" w:sz="0"/>
              <w:left w:val="none" w:color="000000" w:sz="0"/>
              <w:bottom w:val="none" w:color="000000" w:sz="0"/>
              <w:right w:val="none" w:color="000000" w:sz="0"/>
            </w:tcBorders>
            <w:vAlign w:val="top"/>
          </w:tcPr>
          <w:p>
            <w:pPr>
              <w:spacing w:before="0" w:after="0"/>
            </w:pPr>
            <w:hyperlink w:history="true" r:id="Reee03708cca94265">
              <w:r>
                <w:rPr>
                  <w:rStyle w:val="Hyperlink"/>
                  <w:color w:val="244061"/>
                </w:rPr>
                <w:t xml:space="preserve">Health</w:t>
              </w:r>
            </w:hyperlink>
            <w:r>
              <w:rPr>
                <w:rStyle w:val="row-content"/>
                <w:color w:val="244061"/>
              </w:rPr>
              <w:t xml:space="preserve">, Superseded 06/12/2023</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DSS type:</w:t>
            </w:r>
          </w:p>
        </w:tc>
        <w:tc>
          <w:tcPr>
            <w:tcBorders>
              <w:top w:val="none" w:color="000000" w:sz="0"/>
              <w:left w:val="none" w:color="000000" w:sz="0"/>
              <w:bottom w:val="none" w:color="000000" w:sz="0"/>
              <w:right w:val="none" w:color="000000" w:sz="0"/>
            </w:tcBorders>
            <w:vAlign w:val="top"/>
          </w:tcPr>
          <w:p>
            <w:pPr/>
            <w:r>
              <w:rPr>
                <w:rStyle w:val="row-content-rich-text"/>
              </w:rPr>
              <w:t xml:space="preserve">National Minimum Data Set (NMDS)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Scope:</w:t>
            </w:r>
          </w:p>
        </w:tc>
        <w:tc>
          <w:tcPr>
            <w:tcBorders>
              <w:top w:val="none" w:color="000000" w:sz="0"/>
              <w:left w:val="none" w:color="000000" w:sz="0"/>
              <w:bottom w:val="none" w:color="000000" w:sz="0"/>
              <w:right w:val="none" w:color="000000" w:sz="0"/>
            </w:tcBorders>
            <w:vAlign w:val="top"/>
          </w:tcPr>
          <w:p>
            <w:pPr>
              <w:spacing w:after="160"/>
            </w:pPr>
            <w:r>
              <w:rPr>
                <w:rStyle w:val="row-content-rich-text"/>
              </w:rPr>
              <w:t xml:space="preserve">The scope of the Residential mental health care national minimum data set (RMHC NMDS) is </w:t>
            </w:r>
            <w:hyperlink w:history="true" r:id="R730e5ae89df241c4">
              <w:r>
                <w:rPr>
                  <w:rStyle w:val="Hyperlink"/>
                </w:rPr>
                <w:t xml:space="preserve">episodes of residential care</w:t>
              </w:r>
            </w:hyperlink>
            <w:r>
              <w:rPr>
                <w:rStyle w:val="row-content-rich-text"/>
              </w:rPr>
              <w:t xml:space="preserve"> for </w:t>
            </w:r>
            <w:hyperlink w:tooltip="A person who receives residential care intended to be for a minimum of one night." w:history="true" r:id="R0ddd8c84380149ed">
              <w:r>
                <w:rPr>
                  <w:rStyle w:val="Hyperlink"/>
                  <w:b/>
                </w:rPr>
                <w:t xml:space="preserve">residents</w:t>
              </w:r>
            </w:hyperlink>
            <w:r>
              <w:rPr>
                <w:rStyle w:val="row-content-rich-text"/>
              </w:rPr>
              <w:t xml:space="preserve"> in all government-funded residential mental health care services in Australia, except those residential care services that are in receipt of funding under the </w:t>
            </w:r>
            <w:r>
              <w:rPr>
                <w:rStyle w:val="row-content-rich-text"/>
                <w:i/>
              </w:rPr>
              <w:t xml:space="preserve">Aged Care Act 1997 </w:t>
            </w:r>
            <w:r>
              <w:rPr>
                <w:rStyle w:val="row-content-rich-text"/>
              </w:rPr>
              <w:t xml:space="preserve">and subject to Commonwealth reporting requirements (i.e. report to the System for the Payment of Aged Residential Care (SPARC) collection).</w:t>
            </w:r>
          </w:p>
          <w:p>
            <w:pPr>
              <w:spacing w:after="160"/>
            </w:pPr>
            <w:r>
              <w:rPr>
                <w:rStyle w:val="row-content-rich-text"/>
              </w:rPr>
              <w:t xml:space="preserve">The following metadata are of particular relevance to the scope of the RMHC NMDS:</w:t>
            </w:r>
          </w:p>
          <w:p>
            <w:hyperlink w:tooltip="A service that is considered by the state, territory or Australian Government funding authorities as a service that:&#10;has the workforce capacity to provide specialised mental health services; and&#10;employs suitably trained mental health staff to provid..." w:history="true" r:id="Rd551afb44f2e4ee5">
              <w:r>
                <w:rPr>
                  <w:rStyle w:val="Hyperlink"/>
                  <w:b/>
                </w:rPr>
                <w:t xml:space="preserve">Residential mental health care service</w:t>
              </w:r>
            </w:hyperlink>
          </w:p>
          <w:p>
            <w:hyperlink w:history="true" r:id="R93d262e0c4fe4455">
              <w:r>
                <w:rPr>
                  <w:rStyle w:val="Hyperlink"/>
                </w:rPr>
                <w:t xml:space="preserve">Specialised mental health service</w:t>
              </w:r>
            </w:hyperlink>
          </w:p>
        </w:tc>
      </w:tr>
    </w:tbl>
    <w:p/>
    <w:tbl>
      <w:tblPr>
        <w:tblStyle w:val="TableGrid"/>
        <w:tblW w:w="5000" w:type="pct"/>
        <w:tblLayout w:type="fixed"/>
      </w:tblPr>
      <w:tblGrid>
        <w:gridCol/>
        <w:gridCol/>
      </w:tblGrid>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Collection and usage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Statistical unit:</w:t>
            </w:r>
          </w:p>
        </w:tc>
        <w:tc>
          <w:tcPr>
            <w:tcBorders>
              <w:top w:val="none" w:color="000000" w:sz="0"/>
              <w:left w:val="none" w:color="000000" w:sz="0"/>
              <w:bottom w:val="none" w:color="000000" w:sz="0"/>
              <w:right w:val="none" w:color="000000" w:sz="0"/>
            </w:tcBorders>
            <w:vAlign w:val="top"/>
          </w:tcPr>
          <w:p>
            <w:hyperlink w:history="true" r:id="Ra0eed03579184c05">
              <w:r>
                <w:rPr>
                  <w:rStyle w:val="Hyperlink"/>
                  <w:b/>
                </w:rPr>
                <w:t xml:space="preserve">Episodes of residential care.</w:t>
              </w:r>
            </w:hyperlink>
          </w:p>
          <w:p>
            <w:pPr/>
            <w:r>
              <w:rPr>
                <w:rStyle w:val="row-content-rich-text"/>
              </w:rPr>
              <w:t xml:space="preserve">Statistical units are entities from or about which statistics are collected, or in respect of which statistics are compiled, tabulated or published.</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Collection methods:</w:t>
            </w:r>
          </w:p>
        </w:tc>
        <w:tc>
          <w:tcPr>
            <w:tcBorders>
              <w:top w:val="none" w:color="000000" w:sz="0"/>
              <w:left w:val="none" w:color="000000" w:sz="0"/>
              <w:bottom w:val="none" w:color="000000" w:sz="0"/>
              <w:right w:val="none" w:color="000000" w:sz="0"/>
            </w:tcBorders>
            <w:vAlign w:val="top"/>
          </w:tcPr>
          <w:p>
            <w:pPr>
              <w:spacing w:after="160"/>
            </w:pPr>
            <w:r>
              <w:rPr>
                <w:rStyle w:val="row-content-rich-text"/>
              </w:rPr>
              <w:t xml:space="preserve">Data are collected at each service from resident administrative and care related record systems. Services forward data to the relevant state or territory health authority on a regular basis (e.g. monthly).</w:t>
            </w:r>
          </w:p>
          <w:p>
            <w:pPr>
              <w:spacing w:after="160"/>
            </w:pPr>
            <w:r>
              <w:rPr>
                <w:rStyle w:val="row-content-rich-text"/>
                <w:i/>
              </w:rPr>
              <w:t xml:space="preserve">National reporting arrangements</w:t>
            </w:r>
          </w:p>
          <w:p>
            <w:pPr>
              <w:spacing w:after="160"/>
            </w:pPr>
            <w:r>
              <w:rPr>
                <w:rStyle w:val="row-content-rich-text"/>
              </w:rPr>
              <w:t xml:space="preserve">State and territory health authorities provide the data to the Australian Institute of Health and Welfare for national collection, on an annual basis.</w:t>
            </w:r>
          </w:p>
          <w:p>
            <w:pPr>
              <w:spacing w:after="160"/>
            </w:pPr>
            <w:r>
              <w:rPr>
                <w:rStyle w:val="row-content-rich-text"/>
              </w:rPr>
              <w:t xml:space="preserve">Government-operated services that employ mental health trained staff on-site 24 hours per day are in scope for collection.</w:t>
            </w:r>
          </w:p>
          <w:p>
            <w:pPr>
              <w:spacing w:after="160"/>
            </w:pPr>
            <w:r>
              <w:rPr>
                <w:rStyle w:val="row-content-rich-text"/>
              </w:rPr>
              <w:t xml:space="preserve">Government-funded, non-government operated services and non 24-hour staffed services can be included, optionally.</w:t>
            </w:r>
          </w:p>
          <w:p>
            <w:pPr>
              <w:spacing w:after="160"/>
            </w:pPr>
            <w:r>
              <w:rPr>
                <w:rStyle w:val="row-content-rich-text"/>
              </w:rPr>
              <w:t xml:space="preserve">For non 24-hour staffed services to be included they must employ mental health-trained staff on-site at least 50 hours per week with at least 6 hours staffing on any single day.</w:t>
            </w:r>
          </w:p>
          <w:p>
            <w:pPr>
              <w:spacing w:after="160"/>
            </w:pPr>
            <w:r>
              <w:rPr>
                <w:rStyle w:val="row-content-rich-text"/>
                <w:i/>
              </w:rPr>
              <w:t xml:space="preserve">Periods for which data are collected and nationally collated</w:t>
            </w:r>
          </w:p>
          <w:p>
            <w:pPr/>
            <w:r>
              <w:rPr>
                <w:rStyle w:val="row-content-rich-text"/>
              </w:rPr>
              <w:t xml:space="preserve">Financial years ending 30 June each year. The reference period starts on 1 July and ends on 30 June each year.</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Implementation start date:</w:t>
            </w:r>
          </w:p>
        </w:tc>
        <w:tc>
          <w:tcPr>
            <w:tcW w:w="3750" w:type="pct"/>
            <w:tcBorders>
              <w:top w:val="none" w:color="000000" w:sz="0"/>
              <w:left w:val="none" w:color="000000" w:sz="0"/>
              <w:bottom w:val="none" w:color="000000" w:sz="0"/>
              <w:right w:val="none" w:color="000000" w:sz="0"/>
            </w:tcBorders>
            <w:vAlign w:val="top"/>
            <w:tcMar>
              <w:top w:w="100"/>
              <w:bottom w:w="100"/>
            </w:tcMar>
          </w:tcPr>
          <w:p>
            <w:r>
              <w:rPr>
                <w:rStyle w:val="row-content"/>
              </w:rPr>
              <w:t xml:space="preserve">01/07/2023</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Implementation end date:</w:t>
            </w:r>
          </w:p>
        </w:tc>
        <w:tc>
          <w:tcPr>
            <w:tcW w:w="3750" w:type="pct"/>
            <w:tcBorders>
              <w:top w:val="none" w:color="000000" w:sz="0"/>
              <w:left w:val="none" w:color="000000" w:sz="0"/>
              <w:bottom w:val="none" w:color="000000" w:sz="0"/>
              <w:right w:val="none" w:color="000000" w:sz="0"/>
            </w:tcBorders>
            <w:vAlign w:val="top"/>
            <w:tcMar>
              <w:top w:w="100"/>
              <w:bottom w:w="100"/>
            </w:tcMar>
          </w:tcPr>
          <w:p>
            <w:r>
              <w:rPr>
                <w:rStyle w:val="row-content"/>
              </w:rPr>
              <w:t xml:space="preserve">30/06/2024</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Comments:</w:t>
            </w:r>
          </w:p>
        </w:tc>
        <w:tc>
          <w:tcPr>
            <w:tcBorders>
              <w:top w:val="none" w:color="000000" w:sz="0"/>
              <w:left w:val="none" w:color="000000" w:sz="0"/>
              <w:bottom w:val="none" w:color="000000" w:sz="0"/>
              <w:right w:val="none" w:color="000000" w:sz="0"/>
            </w:tcBorders>
            <w:vAlign w:val="top"/>
          </w:tcPr>
          <w:p>
            <w:pPr>
              <w:spacing w:after="160"/>
            </w:pPr>
            <w:r>
              <w:rPr>
                <w:rStyle w:val="row-content-rich-text"/>
              </w:rPr>
              <w:t xml:space="preserve">Some admitted patient care services may meet the definition of a residential mental health service. However, as they are admitted patient care services, relevant data on their patients are reported to the Admitted patient care National minimum data set.</w:t>
            </w:r>
          </w:p>
          <w:p>
            <w:pPr>
              <w:spacing w:after="160"/>
            </w:pPr>
            <w:r>
              <w:rPr>
                <w:rStyle w:val="row-content-rich-text"/>
                <w:i/>
              </w:rPr>
              <w:t xml:space="preserve">Glossary items</w:t>
            </w:r>
          </w:p>
          <w:p>
            <w:hyperlink w:tooltip="The administrative process by which a residential care service either records:&#10;Formal episode of residential care end:&#10;the formal end of residential care and accommodation of a resident, or;&#10;Statistical episode of residential care end:&#10;the end of the..." w:history="true" r:id="Rc8aaedd577d645f6">
              <w:r>
                <w:rPr>
                  <w:rStyle w:val="Hyperlink"/>
                  <w:b/>
                </w:rPr>
                <w:t xml:space="preserve">Episode of residential care end</w:t>
              </w:r>
            </w:hyperlink>
          </w:p>
          <w:p>
            <w:hyperlink w:tooltip="The process whereby the residential care service accepts responsibility for the resident's residential care and accommodation. Episode of residential care start is the administrative process by which a residential care service records either:&#10;Formal ep..." w:history="true" r:id="Rbada19e4ce0a473f">
              <w:r>
                <w:rPr>
                  <w:rStyle w:val="Hyperlink"/>
                  <w:b/>
                </w:rPr>
                <w:t xml:space="preserve">Episode of residential care start</w:t>
              </w:r>
            </w:hyperlink>
          </w:p>
          <w:p>
            <w:hyperlink w:tooltip="Gender is about social and cultural differences in identity, expression and experience as a man, boy, woman, girl, or non-binary person. Non-binary is an umbrella term describing gender identities that are not exclusively male or female.Gender is often..." w:history="true" r:id="R4b6429c082b34d24">
              <w:r>
                <w:rPr>
                  <w:rStyle w:val="Hyperlink"/>
                  <w:b/>
                </w:rPr>
                <w:t xml:space="preserve">Gender</w:t>
              </w:r>
            </w:hyperlink>
          </w:p>
          <w:p>
            <w:hyperlink w:tooltip="A classification scheme that divides an area into mutually exclusive sub-areas based on geographic location." w:history="true" r:id="R8eec9c66363b47de">
              <w:r>
                <w:rPr>
                  <w:rStyle w:val="Hyperlink"/>
                  <w:b/>
                </w:rPr>
                <w:t xml:space="preserve">Geographic indicator</w:t>
              </w:r>
            </w:hyperlink>
          </w:p>
          <w:p>
            <w:hyperlink w:tooltip="A person who receives residential care intended to be for a minimum of one night." w:history="true" r:id="R45352d4d9b504e70">
              <w:r>
                <w:rPr>
                  <w:rStyle w:val="Hyperlink"/>
                  <w:b/>
                </w:rPr>
                <w:t xml:space="preserve">Resident</w:t>
              </w:r>
            </w:hyperlink>
          </w:p>
          <w:p>
            <w:hyperlink w:tooltip="A service that is considered by the state, territory or Australian Government funding authorities as a service that:&#10;has the workforce capacity to provide specialised mental health services; and&#10;employs suitably trained mental health staff to provid..." w:history="true" r:id="R5f044339e2074fcc">
              <w:r>
                <w:rPr>
                  <w:rStyle w:val="Hyperlink"/>
                  <w:b/>
                </w:rPr>
                <w:t xml:space="preserve">Residential mental health care service</w:t>
              </w:r>
            </w:hyperlink>
          </w:p>
          <w:p>
            <w:hyperlink w:tooltip="The process by which an episode of care for an admitted patient ceases.&#10;A separation may be formal or statistical.&#10;Formal separation:&#10;The administrative process by which a hospital records the cessation of treatment and/or care and/or accommodation of..." w:history="true" r:id="Reb0f3fd775d041d1">
              <w:r>
                <w:rPr>
                  <w:rStyle w:val="Hyperlink"/>
                  <w:b/>
                </w:rPr>
                <w:t xml:space="preserve">Separation</w:t>
              </w:r>
            </w:hyperlink>
          </w:p>
          <w:p>
            <w:hyperlink w:tooltip="Sex is understood in relation to sex characteristics, such as chromosomes, hormones and reproductive organs.&#10;Sex is often used interchangeably with gender, however they are distinct concepts and it is important to differentiate between them." w:history="true" r:id="R7ab8d5fd6a7e4e02">
              <w:r>
                <w:rPr>
                  <w:rStyle w:val="Hyperlink"/>
                  <w:b/>
                </w:rPr>
                <w:t xml:space="preserve">Sex</w:t>
              </w:r>
            </w:hyperlink>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Source and reference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Submitting organisation:</w:t>
            </w:r>
          </w:p>
        </w:tc>
        <w:tc>
          <w:tcPr>
            <w:tcW w:w="3750" w:type="pct"/>
            <w:tcBorders>
              <w:top w:val="none" w:color="000000" w:sz="0"/>
              <w:left w:val="none" w:color="000000" w:sz="0"/>
              <w:bottom w:val="none" w:color="000000" w:sz="0"/>
              <w:right w:val="none" w:color="000000" w:sz="0"/>
            </w:tcBorders>
            <w:vAlign w:val="top"/>
            <w:tcMar>
              <w:top w:w="100"/>
              <w:bottom w:w="100"/>
            </w:tcMar>
          </w:tcPr>
          <w:p>
            <w:r>
              <w:rPr>
                <w:rStyle w:val="row-content"/>
              </w:rPr>
              <w:t xml:space="preserve">Australian Institute of Health and Welfare</w:t>
            </w:r>
            <w:r>
              <w:br/>
            </w:r>
          </w:p>
        </w:tc>
      </w:tr>
      <w:tr>
        <w:trPr/>
        <w:tc>
          <w:tcPr>
            <w:gridSpan w:val="2"/>
            <w:tcBorders>
              <w:top w:val="none" w:color="000000" w:sz="0"/>
              <w:left w:val="none" w:color="000000" w:sz="0"/>
              <w:bottom w:val="none" w:color="000000" w:sz="0"/>
              <w:right w:val="none" w:color="000000" w:sz="0"/>
            </w:tcBorders>
            <w:vAlign w:val="top"/>
            <w:tcMar>
              <w:top w:w="200"/>
              <w:bottom w:w="100"/>
            </w:tcMar>
          </w:tcPr>
          <w:p>
            <w:pPr>
              <w:pStyle w:val="Heading3"/>
            </w:pPr>
            <w:r>
              <w:t xml:space="preserve">Relational attributes</w:t>
            </w:r>
          </w:p>
        </w:tc>
      </w:tr>
      <w:tr>
        <w:trPr/>
        <w:tc>
          <w:tcPr>
            <w:tcW w:w="1250" w:type="pct"/>
            <w:tcBorders>
              <w:top w:val="none" w:color="000000" w:sz="0"/>
              <w:left w:val="none" w:color="000000" w:sz="0"/>
              <w:bottom w:val="none" w:color="000000" w:sz="0"/>
              <w:right w:val="none" w:color="000000" w:sz="0"/>
            </w:tcBorders>
            <w:vAlign w:val="top"/>
            <w:tcMar>
              <w:top w:w="100"/>
              <w:bottom w:w="100"/>
            </w:tcMar>
          </w:tcPr>
          <w:p>
            <w:r>
              <w:rPr>
                <w:rStyle w:val="row-heading"/>
              </w:rPr>
              <w:t xml:space="preserve">Related metadata references:</w:t>
            </w:r>
          </w:p>
        </w:tc>
        <w:tc>
          <w:tcPr>
            <w:tcW w:w="3750" w:type="pct"/>
            <w:tcBorders>
              <w:top w:val="none" w:color="000000" w:sz="0"/>
              <w:left w:val="none" w:color="000000" w:sz="0"/>
              <w:bottom w:val="none" w:color="000000" w:sz="0"/>
              <w:right w:val="none" w:color="000000" w:sz="0"/>
            </w:tcBorders>
            <w:vAlign w:val="top"/>
            <w:tcMar>
              <w:top w:w="100"/>
              <w:bottom w:w="100"/>
            </w:tcMar>
          </w:tcPr>
          <w:p>
            <w:r>
              <w:rPr>
                <w:rStyle w:val="row-content"/>
              </w:rPr>
              <w:t xml:space="preserve">Supersedes </w:t>
            </w:r>
            <w:hyperlink w:history="true" r:id="R0dc2b80affcb4404">
              <w:r>
                <w:rPr>
                  <w:rStyle w:val="Hyperlink"/>
                </w:rPr>
                <w:t xml:space="preserve">Residential mental health care NMDS 2022–23</w:t>
              </w:r>
            </w:hyperlink>
          </w:p>
          <w:p>
            <w:pPr>
              <w:pStyle w:val="registration-status"/>
              <w:spacing w:before="0" w:after="0"/>
            </w:pPr>
            <w:hyperlink w:history="true" r:id="R90f4248c0c58497d">
              <w:r>
                <w:rPr>
                  <w:rStyle w:val="Hyperlink"/>
                  <w:color w:val="244061"/>
                </w:rPr>
                <w:t xml:space="preserve">Health</w:t>
              </w:r>
            </w:hyperlink>
            <w:r>
              <w:rPr>
                <w:rStyle w:val="row-content"/>
                <w:color w:val="244061"/>
              </w:rPr>
              <w:t xml:space="preserve">, Superseded 09/12/2022</w:t>
            </w:r>
          </w:p>
          <w:p>
            <w:r>
              <w:br/>
            </w:r>
            <w:r>
              <w:rPr>
                <w:rStyle w:val="row-content"/>
              </w:rPr>
              <w:t xml:space="preserve">Has been superseded by </w:t>
            </w:r>
            <w:hyperlink w:history="true" r:id="R5cae2a2fa1b746f2">
              <w:r>
                <w:rPr>
                  <w:rStyle w:val="Hyperlink"/>
                </w:rPr>
                <w:t xml:space="preserve">Residential mental health care NMDS 2024–25</w:t>
              </w:r>
            </w:hyperlink>
          </w:p>
          <w:p>
            <w:pPr>
              <w:pStyle w:val="registration-status"/>
              <w:spacing w:before="0" w:after="0"/>
            </w:pPr>
            <w:hyperlink w:history="true" r:id="R2ed47655d92d4a15">
              <w:r>
                <w:rPr>
                  <w:rStyle w:val="Hyperlink"/>
                  <w:color w:val="244061"/>
                </w:rPr>
                <w:t xml:space="preserve">Health</w:t>
              </w:r>
            </w:hyperlink>
            <w:r>
              <w:rPr>
                <w:rStyle w:val="row-content"/>
                <w:color w:val="244061"/>
              </w:rPr>
              <w:t xml:space="preserve">, Superseded 17/01/2025</w:t>
            </w:r>
          </w:p>
          <w:p>
            <w:r>
              <w:br/>
            </w:r>
            <w:r>
              <w:rPr>
                <w:rStyle w:val="row-content"/>
              </w:rPr>
              <w:t xml:space="preserve">See also </w:t>
            </w:r>
            <w:hyperlink w:history="true" r:id="Re8082debf6a54242">
              <w:r>
                <w:rPr>
                  <w:rStyle w:val="Hyperlink"/>
                </w:rPr>
                <w:t xml:space="preserve">Activity based funding: Mental health care NBEDS 2023–24</w:t>
              </w:r>
            </w:hyperlink>
          </w:p>
          <w:p>
            <w:pPr>
              <w:pStyle w:val="registration-status"/>
              <w:spacing w:before="0" w:after="0"/>
            </w:pPr>
            <w:hyperlink w:history="true" r:id="R447de59788d3469d">
              <w:r>
                <w:rPr>
                  <w:rStyle w:val="Hyperlink"/>
                  <w:color w:val="244061"/>
                </w:rPr>
                <w:t xml:space="preserve">Health</w:t>
              </w:r>
            </w:hyperlink>
            <w:r>
              <w:rPr>
                <w:rStyle w:val="row-content"/>
                <w:color w:val="244061"/>
              </w:rPr>
              <w:t xml:space="preserve">, Superseded 06/12/2023</w:t>
            </w:r>
          </w:p>
          <w:p>
            <w:r>
              <w:br/>
            </w:r>
            <w:r>
              <w:rPr>
                <w:rStyle w:val="row-content"/>
              </w:rPr>
              <w:t xml:space="preserve">See also </w:t>
            </w:r>
            <w:hyperlink w:history="true" r:id="R9e00c4e630a54162">
              <w:r>
                <w:rPr>
                  <w:rStyle w:val="Hyperlink"/>
                </w:rPr>
                <w:t xml:space="preserve">Residential mental health care NMDS 2023–24: National Residential Mental Health Care Database, 2025; Quality Statement</w:t>
              </w:r>
            </w:hyperlink>
          </w:p>
          <w:p>
            <w:pPr>
              <w:pStyle w:val="registration-status"/>
              <w:spacing w:before="0" w:after="0"/>
            </w:pPr>
            <w:hyperlink w:history="true" r:id="Rdc8e50806cbd441e">
              <w:r>
                <w:rPr>
                  <w:rStyle w:val="Hyperlink"/>
                  <w:color w:val="244061"/>
                </w:rPr>
                <w:t xml:space="preserve">AIHW Data Quality Statements</w:t>
              </w:r>
            </w:hyperlink>
            <w:r>
              <w:rPr>
                <w:rStyle w:val="row-content"/>
                <w:color w:val="244061"/>
              </w:rPr>
              <w:t xml:space="preserve">, Standard 02/12/2025</w:t>
            </w:r>
          </w:p>
          <w:p>
            <w:r>
              <w:br/>
            </w:r>
            <w:r>
              <w:rPr>
                <w:rStyle w:val="row-content"/>
              </w:rPr>
              <w:t xml:space="preserve">See also </w:t>
            </w:r>
            <w:hyperlink w:history="true" r:id="Rda26ca79f9554ba1">
              <w:r>
                <w:rPr>
                  <w:rStyle w:val="Hyperlink"/>
                </w:rPr>
                <w:t xml:space="preserve">Statistical Area Level 1 of usual residence NBEDS 2023–24</w:t>
              </w:r>
            </w:hyperlink>
          </w:p>
          <w:p>
            <w:pPr>
              <w:pStyle w:val="registration-status"/>
              <w:spacing w:before="0" w:after="0"/>
            </w:pPr>
            <w:hyperlink w:history="true" r:id="R775ab0366cc848ce">
              <w:r>
                <w:rPr>
                  <w:rStyle w:val="Hyperlink"/>
                  <w:color w:val="244061"/>
                </w:rPr>
                <w:t xml:space="preserve">Health</w:t>
              </w:r>
            </w:hyperlink>
            <w:r>
              <w:rPr>
                <w:rStyle w:val="row-content"/>
                <w:color w:val="244061"/>
              </w:rPr>
              <w:t xml:space="preserve">, Superseded 06/12/2023</w:t>
            </w:r>
          </w:p>
          <w:p>
            <w:r>
              <w:br/>
            </w:r>
          </w:p>
        </w:tc>
      </w:tr>
    </w:tbl>
    <w:p/>
    <w:tbl>
      <w:tblPr>
        <w:tblStyle w:val="TableGrid"/>
        <w:tblW w:w="0" w:type="auto"/>
      </w:tblPr>
      <w:tblGrid>
        <w:gridCol/>
      </w:tblGrid>
      <w:tr>
        <w:trPr/>
        <w:tc>
          <w:tcPr>
            <w:tcBorders>
              <w:top w:val="none" w:color="000000" w:sz="0"/>
              <w:left w:val="none" w:color="000000" w:sz="0"/>
              <w:bottom w:val="none" w:color="000000" w:sz="0"/>
              <w:right w:val="none" w:color="000000" w:sz="0"/>
            </w:tcBorders>
            <w:vAlign w:val="top"/>
            <w:tcMar>
              <w:top w:w="200"/>
              <w:bottom w:w="100"/>
            </w:tcMar>
          </w:tcPr>
          <w:p>
            <w:pPr>
              <w:pStyle w:val="Heading3"/>
            </w:pPr>
            <w:r>
              <w:t xml:space="preserve">Metadata items in this Data Set Specification</w:t>
            </w:r>
            <w:r>
              <w:t xml:space="preserve"> </w:t>
            </w:r>
          </w:p>
        </w:tc>
      </w:tr>
      <w:tr>
        <w:trPr/>
        <w:tc>
          <w:tcPr>
            <w:tcBorders>
              <w:top w:val="none" w:color="000000" w:sz="0"/>
              <w:left w:val="none" w:color="000000" w:sz="0"/>
              <w:bottom w:val="none" w:color="000000" w:sz="0"/>
              <w:right w:val="none" w:color="000000" w:sz="0"/>
            </w:tcBorders>
            <w:vAlign w:val="top"/>
          </w:tcPr>
          <w:tbl>
            <w:tblPr>
              <w:tblStyle w:val="TableGrid"/>
              <w:tblW w:w="0" w:type="auto"/>
              <w:tblCellMar>
                <w:top w:w="0" w:type="dxa"/>
              </w:tblCellMar>
            </w:tblPr>
            <w:tblGrid>
              <w:gridCol/>
              <w:gridCol/>
              <w:gridCol/>
              <w:gridCol/>
            </w:tblGrid>
            <w:tr>
              <w:trPr/>
              <w:tc>
                <w:tcPr>
                  <w:tcBorders>
                    <w:top w:val="none" w:color="000000" w:sz="0"/>
                    <w:left w:val="none" w:color="000000" w:sz="0"/>
                    <w:bottom w:val="none" w:color="000000" w:sz="0"/>
                    <w:right w:val="none" w:color="000000" w:sz="0"/>
                  </w:tcBorders>
                  <w:vAlign w:val="top"/>
                </w:tcPr>
                <w:p>
                  <w:r>
                    <w:t xml:space="preserve">Seq No.</w:t>
                  </w:r>
                </w:p>
              </w:tc>
              <w:tc>
                <w:tcPr>
                  <w:tcBorders>
                    <w:top w:val="none" w:color="000000" w:sz="0"/>
                    <w:left w:val="none" w:color="000000" w:sz="0"/>
                    <w:bottom w:val="none" w:color="000000" w:sz="0"/>
                    <w:right w:val="none" w:color="000000" w:sz="0"/>
                  </w:tcBorders>
                  <w:vAlign w:val="top"/>
                </w:tcPr>
                <w:p>
                  <w:r>
                    <w:t xml:space="preserve">Metadata item</w:t>
                  </w:r>
                </w:p>
              </w:tc>
              <w:tc>
                <w:tcPr>
                  <w:tcBorders>
                    <w:top w:val="none" w:color="000000" w:sz="0"/>
                    <w:left w:val="none" w:color="000000" w:sz="0"/>
                    <w:bottom w:val="none" w:color="000000" w:sz="0"/>
                    <w:right w:val="none" w:color="000000" w:sz="0"/>
                  </w:tcBorders>
                  <w:vAlign w:val="top"/>
                </w:tcPr>
                <w:p>
                  <w:r>
                    <w:t xml:space="preserve">Obligation</w:t>
                  </w:r>
                </w:p>
              </w:tc>
              <w:tc>
                <w:tcPr>
                  <w:tcBorders>
                    <w:top w:val="none" w:color="000000" w:sz="0"/>
                    <w:left w:val="none" w:color="000000" w:sz="0"/>
                    <w:bottom w:val="none" w:color="000000" w:sz="0"/>
                    <w:right w:val="none" w:color="000000" w:sz="0"/>
                  </w:tcBorders>
                  <w:vAlign w:val="top"/>
                </w:tcPr>
                <w:p>
                  <w:r>
                    <w:t xml:space="preserve">Max occurs</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9b9334630eb9434a">
                    <w:r>
                      <w:rPr>
                        <w:rStyle w:val="Hyperlink"/>
                      </w:rPr>
                      <w:t xml:space="preserve">Episode of care—additional diagnosis, code (ICD-10-AM Twelfth edition) ANN{.N[N]}</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a5740cff11f346b9">
                    <w:r>
                      <w:rPr>
                        <w:rStyle w:val="Hyperlink"/>
                      </w:rPr>
                      <w:t xml:space="preserve">Episode of care—mental health legal status, code N</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e798c015fb3e4b60">
                    <w:r>
                      <w:rPr>
                        <w:rStyle w:val="Hyperlink"/>
                      </w:rPr>
                      <w:t xml:space="preserve">Episode of care—principal diagnosis, code (ICD-10-AM Twelfth edition) ANN{.N[N]}</w:t>
                    </w:r>
                  </w:hyperlink>
                </w:p>
                <w:p>
                  <w:r>
                    <w:rPr>
                      <w:b/>
                      <w:i/>
                      <w:color w:val="333333"/>
                    </w:rPr>
                    <w:t xml:space="preserve">DSS specific information:</w:t>
                  </w:r>
                </w:p>
                <w:p>
                  <w:r>
                    <w:t xml:space="preserve">Codes can be used from ICD-10-AM or from The ICD-10-AM Mental Health Manual: An Integrated Classification and Diagnostic Tool for Community-Based Mental Health Services, published by the National Centre for Classification in Health 2002.</w:t>
                  </w:r>
                </w:p>
                <w:p>
                  <w:r>
                    <w:t xml:space="preserve">The principal diagnosis should be recorded and coded upon the end of an episode of residential care (i.e. annually for continuing residential care).</w:t>
                  </w:r>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def4b8d91b344705">
                    <w:r>
                      <w:rPr>
                        <w:rStyle w:val="Hyperlink"/>
                      </w:rPr>
                      <w:t xml:space="preserve">Episode of residential care—episode end date, DDMMYYYY</w:t>
                    </w:r>
                  </w:hyperlink>
                </w:p>
                <w:p>
                  <w:r>
                    <w:rPr>
                      <w:b/>
                      <w:i/>
                      <w:color w:val="333333"/>
                    </w:rPr>
                    <w:t xml:space="preserve">DSS specific information:</w:t>
                  </w:r>
                </w:p>
                <w:p>
                  <w:r>
                    <w:t xml:space="preserve">Data in this field must:</w:t>
                  </w:r>
                </w:p>
                <w:p>
                  <w:pPr>
                    <w:pStyle w:val="ListParagraph"/>
                    <w:numPr>
                      <w:ilvl w:val="0"/>
                      <w:numId w:val="2"/>
                    </w:numPr>
                  </w:pPr>
                  <w:r>
                    <w:t xml:space="preserve">be ≤ last day of reference period</w:t>
                  </w:r>
                </w:p>
                <w:p>
                  <w:pPr>
                    <w:pStyle w:val="ListParagraph"/>
                    <w:numPr>
                      <w:ilvl w:val="0"/>
                      <w:numId w:val="2"/>
                    </w:numPr>
                  </w:pPr>
                  <w:r>
                    <w:t xml:space="preserve">be ≥ first day of reference period</w:t>
                  </w:r>
                </w:p>
                <w:p>
                  <w:pPr>
                    <w:pStyle w:val="ListParagraph"/>
                    <w:numPr>
                      <w:ilvl w:val="0"/>
                      <w:numId w:val="2"/>
                    </w:numPr>
                  </w:pPr>
                  <w:r>
                    <w:t xml:space="preserve">be ≥ Episode of residential care start date.</w:t>
                  </w:r>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207605b27d324156">
                    <w:r>
                      <w:rPr>
                        <w:rStyle w:val="Hyperlink"/>
                      </w:rPr>
                      <w:t xml:space="preserve">Episode of residential care—episode end mode, code N</w:t>
                    </w:r>
                  </w:hyperlink>
                </w:p>
                <w:p>
                  <w:r>
                    <w:rPr>
                      <w:b/>
                      <w:i/>
                      <w:color w:val="333333"/>
                    </w:rPr>
                    <w:t xml:space="preserve">DSS specific information:</w:t>
                  </w:r>
                </w:p>
                <w:p>
                  <w:r>
                    <w:t xml:space="preserve">Episodes with an episode end mode of 1 (died) should be coded as 8 (not applicable) for referral destination.</w:t>
                  </w:r>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954f23af29e04155">
                    <w:r>
                      <w:rPr>
                        <w:rStyle w:val="Hyperlink"/>
                      </w:rPr>
                      <w:t xml:space="preserve">Episode of residential care—episode start date, DDMMYYYY</w:t>
                    </w:r>
                  </w:hyperlink>
                </w:p>
                <w:p>
                  <w:r>
                    <w:rPr>
                      <w:b/>
                      <w:i/>
                      <w:color w:val="333333"/>
                    </w:rPr>
                    <w:t xml:space="preserve">DSS specific information:</w:t>
                  </w:r>
                </w:p>
                <w:p>
                  <w:r>
                    <w:t xml:space="preserve">Right justified and zero filled.</w:t>
                  </w:r>
                </w:p>
                <w:p>
                  <w:r>
                    <w:t xml:space="preserve">Episode of residential care start date ≤ episode of residential care end date.</w:t>
                  </w:r>
                </w:p>
                <w:p>
                  <w:r>
                    <w:t xml:space="preserve">Episode of residential care start date ≥ date of birth.</w:t>
                  </w:r>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b00bfdbba5a7465b">
                    <w:r>
                      <w:rPr>
                        <w:rStyle w:val="Hyperlink"/>
                      </w:rPr>
                      <w:t xml:space="preserve">Episode of residential care—episode start mode, code N</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08f0c0b0d6744a6a">
                    <w:r>
                      <w:rPr>
                        <w:rStyle w:val="Hyperlink"/>
                      </w:rPr>
                      <w:t xml:space="preserve">Episode of residential care—mental health care referral destination, code N</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e07e7491e33b4f48">
                    <w:r>
                      <w:rPr>
                        <w:rStyle w:val="Hyperlink"/>
                      </w:rPr>
                      <w:t xml:space="preserve">Episode of residential care—number of leave days, total N[NN]</w:t>
                    </w:r>
                  </w:hyperlink>
                </w:p>
                <w:p>
                  <w:r>
                    <w:rPr>
                      <w:b/>
                      <w:i/>
                      <w:color w:val="333333"/>
                    </w:rPr>
                    <w:t xml:space="preserve">DSS specific information:</w:t>
                  </w:r>
                </w:p>
                <w:p>
                  <w:r>
                    <w:t xml:space="preserve">Episode of residential care end date minus episode of residential care start date minus leave days from residential care must be &gt;= 0 days.</w:t>
                  </w:r>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255b20276b354b0a">
                    <w:r>
                      <w:rPr>
                        <w:rStyle w:val="Hyperlink"/>
                      </w:rPr>
                      <w:t xml:space="preserve">Establishment—Australian state/territory identifier, code N</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ad27676bf2314f34">
                    <w:r>
                      <w:rPr>
                        <w:rStyle w:val="Hyperlink"/>
                      </w:rPr>
                      <w:t xml:space="preserve">Establishment—region identifier, X[X]</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b25537343beb450d">
                    <w:r>
                      <w:rPr>
                        <w:rStyle w:val="Hyperlink"/>
                      </w:rPr>
                      <w:t xml:space="preserve">Establishment—region name, text XXX[X(57)]</w:t>
                    </w:r>
                  </w:hyperlink>
                </w:p>
                <w:p>
                  <w:r>
                    <w:rPr>
                      <w:b/>
                      <w:i/>
                      <w:color w:val="333333"/>
                    </w:rPr>
                    <w:t xml:space="preserve">DSS specific information:</w:t>
                  </w:r>
                </w:p>
                <w:p>
                  <w:r>
                    <w:t xml:space="preserve">Mental health data collections are hierarchical in nature. An identical reporting structure, including region name, should be common between all mental health collections, including the Mental Health Establishments (MHE), Community Mental Health Care (CMHC) and Residential Mental Health Care (RMHC) NMDS's, the Mental Health National Outcomes and Casemix Collection and any future mental health collections.</w:t>
                  </w:r>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23b5503f571d48e1">
                    <w:r>
                      <w:rPr>
                        <w:rStyle w:val="Hyperlink"/>
                      </w:rPr>
                      <w:t xml:space="preserve">Establishment—sector, code N</w:t>
                    </w:r>
                  </w:hyperlink>
                </w:p>
                <w:p>
                  <w:r>
                    <w:rPr>
                      <w:b/>
                      <w:i/>
                      <w:color w:val="333333"/>
                    </w:rPr>
                    <w:t xml:space="preserve">DSS specific information:</w:t>
                  </w:r>
                </w:p>
                <w:p>
                  <w:r>
                    <w:t xml:space="preserve">CODE 1 is to be used for government-operated residential mental health care services.</w:t>
                  </w:r>
                </w:p>
                <w:p>
                  <w:r>
                    <w:t xml:space="preserve">CODE 2 is to be used for residential mental health care services operated by non-government organisations.</w:t>
                  </w:r>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9680c9e722584283">
                    <w:r>
                      <w:rPr>
                        <w:rStyle w:val="Hyperlink"/>
                      </w:rPr>
                      <w:t xml:space="preserve">Establishment—service unit cluster identifier, XXXXX</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66631c7b0a2a4229">
                    <w:r>
                      <w:rPr>
                        <w:rStyle w:val="Hyperlink"/>
                      </w:rPr>
                      <w:t xml:space="preserve">Establishment—service unit cluster name, text XXX[X(97)]</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dfa85a61fbff40f8">
                    <w:r>
                      <w:rPr>
                        <w:rStyle w:val="Hyperlink"/>
                      </w:rPr>
                      <w:t xml:space="preserve">Person—area of usual residence, statistical area level 2 (SA2) code (ASGS Edition 3) N(9)</w:t>
                    </w:r>
                  </w:hyperlink>
                </w:p>
                <w:p>
                  <w:r>
                    <w:rPr>
                      <w:b/>
                      <w:i/>
                      <w:color w:val="333333"/>
                    </w:rPr>
                    <w:t xml:space="preserve">DSS specific information:</w:t>
                  </w:r>
                </w:p>
                <w:p>
                  <w:r>
                    <w:t xml:space="preserve">The following SA2 codes have been agreed by the Mental Health Information Strategy Standing Committee (MHISSC) as supplementary codes for use in the Residential Mental Health Care NMDS:</w:t>
                  </w:r>
                </w:p>
                <w:p>
                  <w:r>
                    <w:t xml:space="preserve"> </w:t>
                  </w:r>
                </w:p>
                <w:tbl>
                  <w:tblPr>
                    <w:tblStyle w:val="InnerTable"/>
                    <w:tblW w:w="0" w:type="auto"/>
                  </w:tblPr>
                  <w:tblGrid>
                    <w:gridCol/>
                    <w:gridCol/>
                    <w:gridCol/>
                    <w:gridCol/>
                    <w:gridCol/>
                  </w:tblGrid>
                  <w:tr>
                    <w:trPr/>
                    <w:tc>
                      <w:tcPr>
                        <w:vAlign w:val="top"/>
                      </w:tcPr>
                      <w:p>
                        <w:r>
                          <w:t xml:space="preserve">STATE_CODE_2021</w:t>
                        </w:r>
                      </w:p>
                    </w:tc>
                    <w:tc>
                      <w:tcPr>
                        <w:vAlign w:val="top"/>
                      </w:tcPr>
                      <w:p>
                        <w:r>
                          <w:t xml:space="preserve">STATE_NAME_2021</w:t>
                        </w:r>
                      </w:p>
                    </w:tc>
                    <w:tc>
                      <w:tcPr>
                        <w:vAlign w:val="top"/>
                      </w:tcPr>
                      <w:p>
                        <w:r>
                          <w:t xml:space="preserve">Not applicable  </w:t>
                        </w:r>
                      </w:p>
                    </w:tc>
                    <w:tc>
                      <w:tcPr>
                        <w:vAlign w:val="top"/>
                      </w:tcPr>
                      <w:p>
                        <w:r>
                          <w:t xml:space="preserve">Unknown (Not stated/inadequately described)</w:t>
                        </w:r>
                      </w:p>
                    </w:tc>
                    <w:tc>
                      <w:tcPr>
                        <w:vAlign w:val="top"/>
                      </w:tcPr>
                      <w:p>
                        <w:r>
                          <w:t xml:space="preserve">No usual address</w:t>
                        </w:r>
                      </w:p>
                    </w:tc>
                  </w:tr>
                  <w:tr>
                    <w:trPr/>
                    <w:tc>
                      <w:tcPr>
                        <w:vAlign w:val="top"/>
                      </w:tcPr>
                      <w:p>
                        <w:r>
                          <w:t xml:space="preserve">1</w:t>
                        </w:r>
                      </w:p>
                    </w:tc>
                    <w:tc>
                      <w:tcPr>
                        <w:vAlign w:val="top"/>
                      </w:tcPr>
                      <w:p>
                        <w:r>
                          <w:t xml:space="preserve">New South Wales</w:t>
                        </w:r>
                      </w:p>
                    </w:tc>
                    <w:tc>
                      <w:tcPr>
                        <w:vAlign w:val="top"/>
                      </w:tcPr>
                      <w:p>
                        <w:r>
                          <w:t xml:space="preserve">199999497</w:t>
                        </w:r>
                      </w:p>
                    </w:tc>
                    <w:tc>
                      <w:tcPr>
                        <w:vAlign w:val="top"/>
                      </w:tcPr>
                      <w:p>
                        <w:r>
                          <w:t xml:space="preserve">199999498</w:t>
                        </w:r>
                      </w:p>
                    </w:tc>
                    <w:tc>
                      <w:tcPr>
                        <w:vAlign w:val="top"/>
                      </w:tcPr>
                      <w:p>
                        <w:r>
                          <w:t xml:space="preserve">199999499</w:t>
                        </w:r>
                      </w:p>
                    </w:tc>
                  </w:tr>
                  <w:tr>
                    <w:trPr/>
                    <w:tc>
                      <w:tcPr>
                        <w:vAlign w:val="top"/>
                      </w:tcPr>
                      <w:p>
                        <w:r>
                          <w:t xml:space="preserve">2</w:t>
                        </w:r>
                      </w:p>
                    </w:tc>
                    <w:tc>
                      <w:tcPr>
                        <w:vAlign w:val="top"/>
                      </w:tcPr>
                      <w:p>
                        <w:r>
                          <w:t xml:space="preserve">Victoria</w:t>
                        </w:r>
                      </w:p>
                    </w:tc>
                    <w:tc>
                      <w:tcPr>
                        <w:vAlign w:val="top"/>
                      </w:tcPr>
                      <w:p>
                        <w:r>
                          <w:t xml:space="preserve">299999497</w:t>
                        </w:r>
                      </w:p>
                    </w:tc>
                    <w:tc>
                      <w:tcPr>
                        <w:vAlign w:val="top"/>
                      </w:tcPr>
                      <w:p>
                        <w:r>
                          <w:t xml:space="preserve"> 299999498</w:t>
                        </w:r>
                      </w:p>
                    </w:tc>
                    <w:tc>
                      <w:tcPr>
                        <w:vAlign w:val="top"/>
                      </w:tcPr>
                      <w:p>
                        <w:r>
                          <w:t xml:space="preserve">299999499</w:t>
                        </w:r>
                      </w:p>
                    </w:tc>
                  </w:tr>
                  <w:tr>
                    <w:trPr/>
                    <w:tc>
                      <w:tcPr>
                        <w:vAlign w:val="top"/>
                      </w:tcPr>
                      <w:p>
                        <w:r>
                          <w:t xml:space="preserve">3</w:t>
                        </w:r>
                      </w:p>
                    </w:tc>
                    <w:tc>
                      <w:tcPr>
                        <w:vAlign w:val="top"/>
                      </w:tcPr>
                      <w:p>
                        <w:r>
                          <w:t xml:space="preserve">Queensland</w:t>
                        </w:r>
                      </w:p>
                    </w:tc>
                    <w:tc>
                      <w:tcPr>
                        <w:vAlign w:val="top"/>
                      </w:tcPr>
                      <w:p>
                        <w:r>
                          <w:t xml:space="preserve">399999497</w:t>
                        </w:r>
                      </w:p>
                    </w:tc>
                    <w:tc>
                      <w:tcPr>
                        <w:vAlign w:val="top"/>
                      </w:tcPr>
                      <w:p>
                        <w:r>
                          <w:t xml:space="preserve"> 399999498</w:t>
                        </w:r>
                      </w:p>
                    </w:tc>
                    <w:tc>
                      <w:tcPr>
                        <w:vAlign w:val="top"/>
                      </w:tcPr>
                      <w:p>
                        <w:r>
                          <w:t xml:space="preserve"> 399999499</w:t>
                        </w:r>
                      </w:p>
                    </w:tc>
                  </w:tr>
                  <w:tr>
                    <w:trPr/>
                    <w:tc>
                      <w:tcPr>
                        <w:vAlign w:val="top"/>
                      </w:tcPr>
                      <w:p>
                        <w:r>
                          <w:t xml:space="preserve">4</w:t>
                        </w:r>
                      </w:p>
                    </w:tc>
                    <w:tc>
                      <w:tcPr>
                        <w:vAlign w:val="top"/>
                      </w:tcPr>
                      <w:p>
                        <w:r>
                          <w:t xml:space="preserve">South Australia</w:t>
                        </w:r>
                      </w:p>
                    </w:tc>
                    <w:tc>
                      <w:tcPr>
                        <w:vAlign w:val="top"/>
                      </w:tcPr>
                      <w:p>
                        <w:r>
                          <w:t xml:space="preserve">499999497</w:t>
                        </w:r>
                      </w:p>
                    </w:tc>
                    <w:tc>
                      <w:tcPr>
                        <w:vAlign w:val="top"/>
                      </w:tcPr>
                      <w:p>
                        <w:r>
                          <w:t xml:space="preserve"> 499999498</w:t>
                        </w:r>
                      </w:p>
                    </w:tc>
                    <w:tc>
                      <w:tcPr>
                        <w:vAlign w:val="top"/>
                      </w:tcPr>
                      <w:p>
                        <w:r>
                          <w:t xml:space="preserve"> 499999499</w:t>
                        </w:r>
                      </w:p>
                    </w:tc>
                  </w:tr>
                  <w:tr>
                    <w:trPr/>
                    <w:tc>
                      <w:tcPr>
                        <w:vAlign w:val="top"/>
                      </w:tcPr>
                      <w:p>
                        <w:r>
                          <w:t xml:space="preserve">5</w:t>
                        </w:r>
                      </w:p>
                    </w:tc>
                    <w:tc>
                      <w:tcPr>
                        <w:vAlign w:val="top"/>
                      </w:tcPr>
                      <w:p>
                        <w:r>
                          <w:t xml:space="preserve">Western Australia</w:t>
                        </w:r>
                      </w:p>
                    </w:tc>
                    <w:tc>
                      <w:tcPr>
                        <w:vAlign w:val="top"/>
                      </w:tcPr>
                      <w:p>
                        <w:r>
                          <w:t xml:space="preserve">599999497</w:t>
                        </w:r>
                      </w:p>
                    </w:tc>
                    <w:tc>
                      <w:tcPr>
                        <w:vAlign w:val="top"/>
                      </w:tcPr>
                      <w:p>
                        <w:r>
                          <w:t xml:space="preserve"> 599999498</w:t>
                        </w:r>
                      </w:p>
                    </w:tc>
                    <w:tc>
                      <w:tcPr>
                        <w:vAlign w:val="top"/>
                      </w:tcPr>
                      <w:p>
                        <w:r>
                          <w:t xml:space="preserve">599999499</w:t>
                        </w:r>
                      </w:p>
                    </w:tc>
                  </w:tr>
                  <w:tr>
                    <w:trPr/>
                    <w:tc>
                      <w:tcPr>
                        <w:vAlign w:val="top"/>
                      </w:tcPr>
                      <w:p>
                        <w:r>
                          <w:t xml:space="preserve">6</w:t>
                        </w:r>
                      </w:p>
                    </w:tc>
                    <w:tc>
                      <w:tcPr>
                        <w:vAlign w:val="top"/>
                      </w:tcPr>
                      <w:p>
                        <w:r>
                          <w:t xml:space="preserve">Tasmania</w:t>
                        </w:r>
                      </w:p>
                    </w:tc>
                    <w:tc>
                      <w:tcPr>
                        <w:vAlign w:val="top"/>
                      </w:tcPr>
                      <w:p>
                        <w:r>
                          <w:t xml:space="preserve">699999497</w:t>
                        </w:r>
                      </w:p>
                    </w:tc>
                    <w:tc>
                      <w:tcPr>
                        <w:vAlign w:val="top"/>
                      </w:tcPr>
                      <w:p>
                        <w:r>
                          <w:t xml:space="preserve"> 699999498</w:t>
                        </w:r>
                      </w:p>
                    </w:tc>
                    <w:tc>
                      <w:tcPr>
                        <w:vAlign w:val="top"/>
                      </w:tcPr>
                      <w:p>
                        <w:r>
                          <w:t xml:space="preserve"> 699999499</w:t>
                        </w:r>
                      </w:p>
                    </w:tc>
                  </w:tr>
                  <w:tr>
                    <w:trPr/>
                    <w:tc>
                      <w:tcPr>
                        <w:vAlign w:val="top"/>
                      </w:tcPr>
                      <w:p>
                        <w:r>
                          <w:t xml:space="preserve">7</w:t>
                        </w:r>
                      </w:p>
                    </w:tc>
                    <w:tc>
                      <w:tcPr>
                        <w:vAlign w:val="top"/>
                      </w:tcPr>
                      <w:p>
                        <w:r>
                          <w:t xml:space="preserve">Northern Territory</w:t>
                        </w:r>
                      </w:p>
                    </w:tc>
                    <w:tc>
                      <w:tcPr>
                        <w:vAlign w:val="top"/>
                      </w:tcPr>
                      <w:p>
                        <w:r>
                          <w:t xml:space="preserve">799999497</w:t>
                        </w:r>
                      </w:p>
                    </w:tc>
                    <w:tc>
                      <w:tcPr>
                        <w:vAlign w:val="top"/>
                      </w:tcPr>
                      <w:p>
                        <w:r>
                          <w:t xml:space="preserve"> 799999498</w:t>
                        </w:r>
                      </w:p>
                    </w:tc>
                    <w:tc>
                      <w:tcPr>
                        <w:vAlign w:val="top"/>
                      </w:tcPr>
                      <w:p>
                        <w:r>
                          <w:t xml:space="preserve"> 799999499</w:t>
                        </w:r>
                      </w:p>
                    </w:tc>
                  </w:tr>
                  <w:tr>
                    <w:trPr/>
                    <w:tc>
                      <w:tcPr>
                        <w:vAlign w:val="top"/>
                      </w:tcPr>
                      <w:p>
                        <w:r>
                          <w:t xml:space="preserve">8</w:t>
                        </w:r>
                      </w:p>
                    </w:tc>
                    <w:tc>
                      <w:tcPr>
                        <w:vAlign w:val="top"/>
                      </w:tcPr>
                      <w:p>
                        <w:r>
                          <w:t xml:space="preserve">Australian Capital Territory</w:t>
                        </w:r>
                      </w:p>
                    </w:tc>
                    <w:tc>
                      <w:tcPr>
                        <w:vAlign w:val="top"/>
                      </w:tcPr>
                      <w:p>
                        <w:r>
                          <w:t xml:space="preserve">899999497</w:t>
                        </w:r>
                      </w:p>
                    </w:tc>
                    <w:tc>
                      <w:tcPr>
                        <w:vAlign w:val="top"/>
                      </w:tcPr>
                      <w:p>
                        <w:r>
                          <w:t xml:space="preserve"> 899999498</w:t>
                        </w:r>
                      </w:p>
                    </w:tc>
                    <w:tc>
                      <w:tcPr>
                        <w:vAlign w:val="top"/>
                      </w:tcPr>
                      <w:p>
                        <w:r>
                          <w:t xml:space="preserve"> 899999499</w:t>
                        </w:r>
                      </w:p>
                    </w:tc>
                  </w:tr>
                  <w:tr>
                    <w:trPr/>
                    <w:tc>
                      <w:tcPr>
                        <w:vAlign w:val="top"/>
                      </w:tcPr>
                      <w:p>
                        <w:r>
                          <w:t xml:space="preserve">9</w:t>
                        </w:r>
                      </w:p>
                    </w:tc>
                    <w:tc>
                      <w:tcPr>
                        <w:vAlign w:val="top"/>
                      </w:tcPr>
                      <w:p>
                        <w:r>
                          <w:t xml:space="preserve">Other Territories</w:t>
                        </w:r>
                      </w:p>
                    </w:tc>
                    <w:tc>
                      <w:tcPr>
                        <w:vAlign w:val="top"/>
                      </w:tcPr>
                      <w:p>
                        <w:r>
                          <w:t xml:space="preserve">999999497</w:t>
                        </w:r>
                      </w:p>
                    </w:tc>
                    <w:tc>
                      <w:tcPr>
                        <w:vAlign w:val="top"/>
                      </w:tcPr>
                      <w:p>
                        <w:r>
                          <w:t xml:space="preserve"> 999999498</w:t>
                        </w:r>
                      </w:p>
                    </w:tc>
                    <w:tc>
                      <w:tcPr>
                        <w:vAlign w:val="top"/>
                      </w:tcPr>
                      <w:p>
                        <w:r>
                          <w:t xml:space="preserve"> 999999499</w:t>
                        </w:r>
                      </w:p>
                    </w:tc>
                  </w:tr>
                </w:tbl>
                <w:p>
                  <w:r>
                    <w:t xml:space="preserve"> </w:t>
                  </w:r>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5ee8e059934f4553">
                    <w:r>
                      <w:rPr>
                        <w:rStyle w:val="Hyperlink"/>
                      </w:rPr>
                      <w:t xml:space="preserve">Person—country of birth, code (SACC 2016) NNNN</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31f50dd975ac4965">
                    <w:r>
                      <w:rPr>
                        <w:rStyle w:val="Hyperlink"/>
                      </w:rPr>
                      <w:t xml:space="preserve">Person—date of birth, DDMMYYYY</w:t>
                    </w:r>
                  </w:hyperlink>
                </w:p>
                <w:p>
                  <w:r>
                    <w:rPr>
                      <w:b/>
                      <w:i/>
                      <w:color w:val="333333"/>
                    </w:rPr>
                    <w:t xml:space="preserve">DSS specific information:</w:t>
                  </w:r>
                </w:p>
                <w:p>
                  <w:r>
                    <w:t xml:space="preserve">This field must not be null.</w:t>
                  </w:r>
                </w:p>
                <w:p>
                  <w:r>
                    <w:t xml:space="preserve">National minimum data sets:</w:t>
                  </w:r>
                </w:p>
                <w:p>
                  <w:r>
                    <w:t xml:space="preserve">For the provision of State and Territory hospital data to Australian Government agencies this field must:</w:t>
                  </w:r>
                </w:p>
                <w:p>
                  <w:pPr>
                    <w:pStyle w:val="ListParagraph"/>
                    <w:numPr>
                      <w:ilvl w:val="0"/>
                      <w:numId w:val="3"/>
                    </w:numPr>
                  </w:pPr>
                  <w:r>
                    <w:t xml:space="preserve">be less than or equal to Admission date, Date patient presents or Service contact date</w:t>
                  </w:r>
                </w:p>
                <w:p>
                  <w:pPr>
                    <w:pStyle w:val="ListParagraph"/>
                    <w:numPr>
                      <w:ilvl w:val="0"/>
                      <w:numId w:val="3"/>
                    </w:numPr>
                  </w:pPr>
                  <w:r>
                    <w:t xml:space="preserve">be consistent with diagnoses and procedure codes, for records to be grouped.</w:t>
                  </w:r>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fa85dfb607314e42">
                    <w:r>
                      <w:rPr>
                        <w:rStyle w:val="Hyperlink"/>
                      </w:rPr>
                      <w:t xml:space="preserve">Person—Indigenous status, code N</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69c8030a66d749d2">
                    <w:r>
                      <w:rPr>
                        <w:rStyle w:val="Hyperlink"/>
                      </w:rPr>
                      <w:t xml:space="preserve">Person—marital status, code N</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6b000b71e07244f4">
                    <w:r>
                      <w:rPr>
                        <w:rStyle w:val="Hyperlink"/>
                      </w:rPr>
                      <w:t xml:space="preserve">Person—person identifier, XXXXXX[X(14)]</w:t>
                    </w:r>
                  </w:hyperlink>
                </w:p>
                <w:p>
                  <w:r>
                    <w:rPr>
                      <w:b/>
                      <w:i/>
                      <w:color w:val="333333"/>
                    </w:rPr>
                    <w:t xml:space="preserve">DSS specific information:</w:t>
                  </w:r>
                </w:p>
                <w:p>
                  <w:r>
                    <w:t xml:space="preserve">For mental health collections, the </w:t>
                  </w:r>
                  <w:hyperlink w:history="true" r:id="R0847343a23e04b44">
                    <w:r>
                      <w:rPr>
                        <w:rStyle w:val="Hyperlink"/>
                      </w:rPr>
                      <w:t xml:space="preserve">Person identifier</w:t>
                    </w:r>
                  </w:hyperlink>
                  <w:r>
                    <w:t xml:space="preserve"> for a uniquely identifiable person should be consistent between National minimum data sets and other associated collections, and across collection periods, where technically possible.</w:t>
                  </w:r>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65b0c63d9ba64dd1">
                    <w:r>
                      <w:rPr>
                        <w:rStyle w:val="Hyperlink"/>
                      </w:rPr>
                      <w:t xml:space="preserve">Person—sex, code X</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55cfb8c83c9445f3">
                    <w:r>
                      <w:rPr>
                        <w:rStyle w:val="Hyperlink"/>
                      </w:rPr>
                      <w:t xml:space="preserve">Residential stay—episode start date, DDMMYYYY</w:t>
                    </w:r>
                  </w:hyperlink>
                </w:p>
                <w:p>
                  <w:r>
                    <w:rPr>
                      <w:b/>
                      <w:i/>
                      <w:color w:val="333333"/>
                    </w:rPr>
                    <w:t xml:space="preserve">DSS specific information:</w:t>
                  </w:r>
                </w:p>
                <w:p>
                  <w:r>
                    <w:t xml:space="preserve">Right justified and zero filled.</w:t>
                  </w:r>
                </w:p>
                <w:p>
                  <w:r>
                    <w:t xml:space="preserve">Residential stay start date ≤ episode of residential care end date.</w:t>
                  </w:r>
                </w:p>
                <w:p>
                  <w:r>
                    <w:t xml:space="preserve">Residential stay start date ≥ date of birth</w:t>
                  </w:r>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051b711b429a4a3e">
                    <w:r>
                      <w:rPr>
                        <w:rStyle w:val="Hyperlink"/>
                      </w:rPr>
                      <w:t xml:space="preserve">Specialised mental health service organisation—organisation identifier, XXXX</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42710255105949aa">
                    <w:r>
                      <w:rPr>
                        <w:rStyle w:val="Hyperlink"/>
                      </w:rPr>
                      <w:t xml:space="preserve">Specialised mental health service organisation—organisation name, text XXX[X(97)]</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502ae35cecb04659">
                    <w:r>
                      <w:rPr>
                        <w:rStyle w:val="Hyperlink"/>
                      </w:rPr>
                      <w:t xml:space="preserve">Specialised mental health service—residential service unit identifier, XXXXXX</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r>
              <w:trPr/>
              <w:tc>
                <w:tcPr>
                  <w:tcBorders>
                    <w:top w:val="none" w:color="000000" w:sz="0"/>
                    <w:left w:val="none" w:color="000000" w:sz="0"/>
                    <w:bottom w:val="none" w:color="000000" w:sz="0"/>
                    <w:right w:val="none" w:color="000000" w:sz="0"/>
                  </w:tcBorders>
                  <w:tcMar>
                    <w:right w:w="29" w:type="dxa"/>
                  </w:tcMar>
                  <w:vAlign w:val="top"/>
                </w:tcPr>
                <w:p>
                  <w:pPr>
                    <w:keepNext/>
                    <w:jc w:val="center"/>
                  </w:pPr>
                  <w:r>
                    <w:t xml:space="preserve">-</w:t>
                  </w:r>
                </w:p>
              </w:tc>
              <w:tc>
                <w:tcPr>
                  <w:tcBorders>
                    <w:top w:val="none" w:color="000000" w:sz="0"/>
                    <w:left w:val="none" w:color="000000" w:sz="0"/>
                    <w:bottom w:val="none" w:color="000000" w:sz="0"/>
                    <w:right w:val="none" w:color="000000" w:sz="0"/>
                  </w:tcBorders>
                  <w:tcMar/>
                  <w:vAlign w:val="top"/>
                </w:tcPr>
                <w:p>
                  <w:hyperlink w:history="true" r:id="Rb833caade8394b4c">
                    <w:r>
                      <w:rPr>
                        <w:rStyle w:val="Hyperlink"/>
                      </w:rPr>
                      <w:t xml:space="preserve">Specialised mental health service—residential service unit name, text XXX[X(97)]</w:t>
                    </w:r>
                  </w:hyperlink>
                </w:p>
              </w:tc>
              <w:tc>
                <w:tcPr>
                  <w:tcBorders>
                    <w:top w:val="none" w:color="000000" w:sz="0"/>
                    <w:left w:val="none" w:color="000000" w:sz="0"/>
                    <w:bottom w:val="none" w:color="000000" w:sz="0"/>
                    <w:right w:val="none" w:color="000000" w:sz="0"/>
                  </w:tcBorders>
                  <w:vAlign w:val="top"/>
                </w:tcPr>
                <w:p>
                  <w:r>
                    <w:t xml:space="preserve">Mandatory</w:t>
                  </w:r>
                </w:p>
              </w:tc>
              <w:tc>
                <w:tcPr>
                  <w:tcBorders>
                    <w:top w:val="none" w:color="000000" w:sz="0"/>
                    <w:left w:val="none" w:color="000000" w:sz="0"/>
                    <w:bottom w:val="none" w:color="000000" w:sz="0"/>
                    <w:right w:val="none" w:color="000000" w:sz="0"/>
                  </w:tcBorders>
                  <w:vAlign w:val="top"/>
                </w:tcPr>
                <w:p>
                  <w:r>
                    <w:t xml:space="preserve">1</w:t>
                  </w:r>
                </w:p>
              </w:tc>
            </w:tr>
          </w:tbl>
          <w:p/>
        </w:tc>
      </w:tr>
    </w:tbl>
    <w:p>
      <w:r>
        <w:br/>
      </w:r>
    </w:p>
    <w:sectPr>
      <w:footerReference xmlns:r="http://schemas.openxmlformats.org/officeDocument/2006/relationships" w:type="default" r:id="Rfbd721bd5a5c4a29"/>
      <w:pgMar w:top="1060" w:right="1000" w:bottom="1060" w:left="1000" w:footer="300"/>
      <w:titlePg/>
    </w:sectPr>
  </w:body>
</w:document>
</file>

<file path=word/footer1.xml><?xml version="1.0" encoding="utf-8"?>
<w:ftr xmlns:w="http://schemas.openxmlformats.org/wordprocessingml/2006/main">
  <w:p>
    <w:pPr>
      <w:pStyle w:val="Footer"/>
      <w:pBdr>
        <w:top w:val="single"/>
      </w:pBdr>
    </w:pPr>
    <w:r>
      <w:ptab w:alignment="left" w:relativeTo="margin" w:leader="none"/>
    </w:r>
    <w:r>
      <w:t>Metadata 756205</w:t>
    </w:r>
    <w:r>
      <w:ptab w:alignment="right" w:relativeTo="margin" w:leader="none"/>
    </w:r>
    <w:r>
      <w:t xml:space="preserve">Page </w:t>
    </w:r>
    <w:fldSimple w:instr="PAGE"/>
    <w:r>
      <w:t xml:space="preserve"> of </w:t>
    </w:r>
    <w:fldSimple w:instr="NUMPAGES"/>
    <w:r>
      <w:ptab w:alignment="left" w:relativeTo="margin" w:leader="none"/>
    </w:r>
    <w:r>
      <w:t>Downloaded 29-Apr-2026</w:t>
    </w:r>
  </w:p>
</w:ftr>
</file>

<file path=word/header1.xml><?xml version="1.0" encoding="utf-8"?>
<w:hdr xmlns:w="http://schemas.openxmlformats.org/wordprocessingml/2006/main">
  <w:p>
    <w:r>
      <w:drawing>
        <wp:inline xmlns:wp14="http://schemas.microsoft.com/office/word/2010/wordprocessingDrawing" xmlns:wp="http://schemas.openxmlformats.org/drawingml/2006/wordprocessingDrawing" distT="0" distB="0" distL="0" distR="0" wp14:editId="50D07946">
          <wp:extent cx="5943600" cy="1097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881adb1cc42348c2" cstate="print">
                    <a:extLst>
                      <a:ext uri="{28A0092B-C50C-407E-A947-70E740481C1C}"/>
                    </a:extLst>
                  </a:blip>
                  <a:stretch>
                    <a:fillRect/>
                  </a:stretch>
                </pic:blipFill>
                <pic:spPr>
                  <a:xfrm>
                    <a:off x="0" y="0"/>
                    <a:ext cx="5943600" cy="1097280"/>
                  </a:xfrm>
                  <a:prstGeom prst="rect">
                    <a:avLst/>
                  </a:prstGeom>
                </pic:spPr>
              </pic:pic>
            </a:graphicData>
          </a:graphic>
        </wp:inline>
      </w:drawing>
    </w:r>
  </w:p>
</w:hdr>
</file>

<file path=word/numbering.xml><?xml version="1.0" encoding="utf-8"?>
<w:numbering xmlns:w="http://schemas.openxmlformats.org/wordprocessingml/2006/main">
  <w:abstractNum w:abstractNumId="0">
    <w:multiLevelType w:val="singleLevel"/>
    <w:name w:val="decimal"/>
    <w:lvl w:ilvl="0">
      <w:start w:val="1"/>
      <w:numFmt w:val="decimal"/>
      <w:lvlText w:val="%1."/>
      <w:pPr>
        <w:ind w:left="420" w:hanging="360"/>
      </w:pPr>
    </w:lvl>
  </w:abstractNum>
  <w:abstractNum w:abstractNumId="1">
    <w:multiLevelType w:val="singleLevel"/>
    <w:name w:val="disc"/>
    <w:lvl w:ilvl="0">
      <w:numFmt w:val="bullet"/>
      <w:lvlText w:val="•"/>
      <w:pPr>
        <w:ind w:left="420" w:hanging="360"/>
      </w:pPr>
    </w:lvl>
  </w:abstractNum>
  <w:abstractNum w:abstractNumId="2">
    <w:multiLevelType w:val="singleLevel"/>
    <w:name w:val="square"/>
    <w:lvl w:ilvl="0">
      <w:numFmt w:val="bullet"/>
      <w:lvlText w:val="▪"/>
      <w:pPr>
        <w:ind w:left="420" w:hanging="360"/>
      </w:pPr>
    </w:lvl>
  </w:abstractNum>
  <w:abstractNum w:abstractNumId="3">
    <w:multiLevelType w:val="singleLevel"/>
    <w:name w:val="circle"/>
    <w:lvl w:ilvl="0">
      <w:numFmt w:val="bullet"/>
      <w:lvlText w:val="o"/>
      <w:pPr>
        <w:ind w:left="420" w:hanging="360"/>
      </w:pPr>
    </w:lvl>
  </w:abstractNum>
  <w:abstractNum w:abstractNumId="4">
    <w:multiLevelType w:val="singleLevel"/>
    <w:name w:val="upper-alpha"/>
    <w:lvl w:ilvl="0">
      <w:start w:val="1"/>
      <w:numFmt w:val="upperLetter"/>
      <w:lvlText w:val="%1."/>
      <w:pPr>
        <w:ind w:left="420" w:hanging="360"/>
      </w:pPr>
    </w:lvl>
  </w:abstractNum>
  <w:abstractNum w:abstractNumId="5">
    <w:multiLevelType w:val="singleLevel"/>
    <w:name w:val="lower-alpha"/>
    <w:lvl w:ilvl="0">
      <w:start w:val="1"/>
      <w:numFmt w:val="lowerLetter"/>
      <w:lvlText w:val="%1."/>
      <w:pPr>
        <w:ind w:left="420" w:hanging="360"/>
      </w:pPr>
    </w:lvl>
  </w:abstractNum>
  <w:abstractNum w:abstractNumId="6">
    <w:multiLevelType w:val="singleLevel"/>
    <w:name w:val="upper-roman"/>
    <w:lvl w:ilvl="0">
      <w:start w:val="1"/>
      <w:numFmt w:val="upperRoman"/>
      <w:lvlText w:val="%1."/>
      <w:pPr>
        <w:ind w:left="420" w:hanging="360"/>
      </w:pPr>
    </w:lvl>
  </w:abstractNum>
  <w:abstractNum w:abstractNumId="7">
    <w:multiLevelType w:val="singleLevel"/>
    <w:name w:val="lower-roman"/>
    <w:lvl w:ilvl="0">
      <w:start w:val="1"/>
      <w:numFmt w:val="lowerRoman"/>
      <w:lvlText w:val="%1."/>
      <w:pPr>
        <w:ind w:left="420" w:hanging="360"/>
      </w:pPr>
    </w:lvl>
  </w:abstractNum>
  <w:abstractNum w:abstractNumId="8">
    <w:multiLevelType w:val="singleLevel"/>
    <w:name w:val="decimal-heading-multi"/>
    <w:lvl w:ilvl="0">
      <w:start w:val="1"/>
      <w:numFmt w:val="decimal"/>
      <w:lvlText w:val="%1."/>
    </w:lvl>
  </w:abstractNum>
  <w:num w:numId="2">
    <w:abstractNumId w:val="1"/>
    <w:lvlOverride w:ilvl="0">
      <w:startOverride w:val="1"/>
    </w:lvlOverride>
  </w:num>
  <w:num w:numId="3">
    <w:abstractNumId w:val="1"/>
    <w:lvlOverride w:ilvl="0">
      <w:startOverride w:val="1"/>
    </w:lvlOverride>
  </w:num>
</w:numbering>
</file>

<file path=word/settings.xml><?xml version="1.0" encoding="utf-8"?>
<w:settings xmlns:w="http://schemas.openxmlformats.org/wordprocessingml/2006/main">
  <w:compatSetting w:name="compatibilityMode" w:uri="http://schemas.microsoft.com/office/word" w:val="16"/>
</w:settings>
</file>

<file path=word/styles.xml><?xml version="1.0" encoding="utf-8"?>
<w:styles xmlns:w="http://schemas.openxmlformats.org/wordprocessingml/2006/main">
  <w:style w:type="paragraph" w:styleId="Normal" w:customStyle="false">
    <w:uiPriority w:val="11"/>
    <w:qFormat/>
    <w:name w:val="Normal"/>
    <w:rPr>
      <w:color w:themeColor="text1"/>
      <w:rFonts w:ascii="Segoe UI"/>
      <w:sz w:val="22"/>
    </w:rPr>
  </w:style>
  <w:style w:type="character" w:styleId="row-heading" w:customStyle="false">
    <w:uiPriority w:val="11"/>
    <w:qFormat/>
    <w:name w:val="row-heading"/>
    <w:rPr>
      <w:color w:themeColor="dark2"/>
      <w:rFonts w:ascii="Segoe UI"/>
      <w:sz w:val="22"/>
    </w:rPr>
  </w:style>
  <w:style w:type="character" w:styleId="row-content" w:customStyle="false">
    <w:name w:val="row-content"/>
    <w:basedOn w:val="Normal"/>
    <w:uiPriority w:val="12"/>
    <w:qFormat/>
  </w:style>
  <w:style w:type="character" w:styleId="row-content-rich-text" w:customStyle="false">
    <w:name w:val="row-content-rich-text"/>
    <w:basedOn w:val="Normal"/>
    <w:uiPriority w:val="12"/>
    <w:qFormat/>
  </w:style>
  <w:style w:type="character" w:styleId="alternate-name-de" w:customStyle="false">
    <w:name w:val="alternate-name-de"/>
    <w:basedOn w:val="Normal"/>
    <w:uiPriority w:val="12"/>
    <w:qFormat/>
  </w:style>
  <w:style w:type="character" w:styleId="alternate-name-indicator" w:customStyle="false">
    <w:name w:val="alternate-name-indicator"/>
    <w:basedOn w:val="Normal"/>
    <w:uiPriority w:val="12"/>
    <w:qFormat/>
  </w:style>
  <w:style w:type="paragraph" w:styleId="registration-status" w:customStyle="false">
    <w:name w:val="registration-status"/>
    <w:basedOn w:val="Normal"/>
    <w:uiPriority w:val="12"/>
    <w:qFormat/>
    <w:pPr>
      <w:ind w:left="400"/>
    </w:pPr>
  </w:style>
  <w:style w:type="paragraph" w:styleId="Heading1" w:customStyle="false">
    <w:uiPriority w:val="11"/>
    <w:qFormat/>
    <w:name w:val="heading 1"/>
    <w:rPr>
      <w:color w:themeColor="accent1" w:themeShade="6F"/>
      <w:rFonts w:ascii="Segoe UI"/>
      <w:sz w:val="36"/>
      <w:b/>
    </w:rPr>
  </w:style>
  <w:style w:type="paragraph" w:styleId="underlinedHeading1" w:customStyle="false">
    <w:uiPriority w:val="11"/>
    <w:qFormat/>
    <w:name w:val="heading 1"/>
    <w:rPr>
      <w:color w:themeColor="accent1" w:themeShade="6F"/>
      <w:rFonts w:ascii="Segoe UI"/>
      <w:sz w:val="36"/>
      <w:b/>
    </w:rPr>
  </w:style>
  <w:style w:type="paragraph" w:styleId="Heading2" w:customStyle="false">
    <w:uiPriority w:val="11"/>
    <w:qFormat/>
    <w:name w:val="heading 2"/>
    <w:rPr>
      <w:color w:themeColor="accent1" w:themeShade="7F"/>
      <w:rFonts w:ascii="Segoe UI"/>
      <w:sz w:val="32"/>
      <w:b/>
    </w:rPr>
  </w:style>
  <w:style w:type="paragraph" w:styleId="underlinedHeading2" w:customStyle="false">
    <w:uiPriority w:val="11"/>
    <w:qFormat/>
    <w:name w:val="heading 2"/>
    <w:rPr>
      <w:color w:themeColor="accent1" w:themeShade="7F"/>
      <w:rFonts w:ascii="Segoe UI"/>
      <w:sz w:val="32"/>
      <w:b/>
    </w:rPr>
  </w:style>
  <w:style w:type="paragraph" w:styleId="Heading3" w:customStyle="false">
    <w:uiPriority w:val="11"/>
    <w:qFormat/>
    <w:name w:val="heading 3"/>
    <w:rPr>
      <w:color w:themeColor="accent1" w:themeShade="BF"/>
      <w:rFonts w:ascii="Segoe UI"/>
      <w:sz w:val="28"/>
      <w:b/>
    </w:rPr>
  </w:style>
  <w:style w:type="paragraph" w:styleId="underlinedHeading3" w:customStyle="false">
    <w:uiPriority w:val="11"/>
    <w:qFormat/>
    <w:name w:val="heading 3"/>
    <w:rPr>
      <w:color w:themeColor="accent1" w:themeShade="BF"/>
      <w:rFonts w:ascii="Segoe UI"/>
      <w:sz w:val="28"/>
      <w:b/>
    </w:rPr>
  </w:style>
  <w:style w:type="paragraph" w:styleId="Heading4" w:customStyle="false">
    <w:uiPriority w:val="11"/>
    <w:qFormat/>
    <w:name w:val="heading 4"/>
    <w:rPr>
      <w:color w:themeColor="accent1" w:themeShade="EF"/>
      <w:rFonts w:ascii="Segoe UI"/>
      <w:sz w:val="26"/>
      <w:b/>
    </w:rPr>
  </w:style>
  <w:style w:type="paragraph" w:styleId="underlinedHeading4" w:customStyle="false">
    <w:uiPriority w:val="11"/>
    <w:qFormat/>
    <w:name w:val="heading 4"/>
    <w:rPr>
      <w:color w:themeColor="accent1" w:themeShade="EF"/>
      <w:rFonts w:ascii="Segoe UI"/>
      <w:sz w:val="26"/>
      <w:b/>
    </w:rPr>
  </w:style>
  <w:style w:type="paragraph" w:styleId="Heading5" w:customStyle="false">
    <w:uiPriority w:val="11"/>
    <w:qFormat/>
    <w:name w:val="heading 5"/>
    <w:rPr>
      <w:color w:themeColor="accent1" w:themeShade="FF"/>
      <w:rFonts w:ascii="Segoe UI"/>
      <w:sz w:val="24"/>
      <w:b/>
    </w:rPr>
  </w:style>
  <w:style w:type="paragraph" w:styleId="underlinedHeading5" w:customStyle="false">
    <w:uiPriority w:val="11"/>
    <w:qFormat/>
    <w:name w:val="heading 5"/>
    <w:rPr>
      <w:color w:themeColor="accent1" w:themeShade="FF"/>
      <w:rFonts w:ascii="Segoe UI"/>
      <w:sz w:val="24"/>
      <w:b/>
    </w:rPr>
  </w:style>
  <w:style w:type="paragraph" w:styleId="Heading6" w:customStyle="false">
    <w:uiPriority w:val="11"/>
    <w:qFormat/>
    <w:name w:val="heading 6"/>
    <w:rPr>
      <w:color w:themeColor="accent1" w:themeShade="FF"/>
      <w:rFonts w:ascii="Segoe UI"/>
      <w:sz w:val="22"/>
      <w:b/>
    </w:rPr>
  </w:style>
  <w:style w:type="paragraph" w:styleId="underlinedHeading6" w:customStyle="false">
    <w:uiPriority w:val="11"/>
    <w:qFormat/>
    <w:name w:val="heading 6"/>
    <w:rPr>
      <w:color w:themeColor="accent1" w:themeShade="FF"/>
      <w:rFonts w:ascii="Segoe UI"/>
      <w:sz w:val="22"/>
      <w:b/>
    </w:rPr>
  </w:style>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xmlns:w="http://schemas.openxmlformats.org/wordprocessingml/2006/main" w:type="character" w:styleId="Hyperlink">
    <w:name w:val="Hyperlink"/>
    <w:unhideWhenUsed/>
    <w:rPr>
      <w:color w:val="0000FF" w:themeColor="hyperlink"/>
      <w:u w:val="single"/>
    </w:rPr>
  </w:style>
  <w:style w:type="table" w:styleId="InnerTable">
    <w:name w:val="Inner Table"/>
    <w:basedOn w:val="TableGrid"/>
    <w:tblPr>
      <w:tblCellMar>
        <w:left w:w="0" w:type="dxa"/>
        <w:right w:w="0" w:type="dxa"/>
      </w:tblCellMar>
    </w:tblPr>
  </w:style>
  <w:style w:type="paragraph" w:styleId="Title" w:customStyle="false">
    <w:uiPriority w:val="10"/>
    <w:qFormat/>
    <w:name w:val="Title"/>
    <w:basedOn w:val="Normal"/>
    <w:next w:val="Normal"/>
    <w:rPr>
      <w:color w:themeColor="dark1"/>
      <w:rFonts w:ascii="Calibri Light"/>
      <w:sz w:val="56"/>
    </w:rPr>
  </w:style>
  <w:style w:type="paragraph" w:styleId="Subtitle" w:customStyle="false">
    <w:uiPriority w:val="11"/>
    <w:qFormat/>
    <w:name w:val="Subtitle"/>
    <w:basedOn w:val="Normal"/>
    <w:next w:val="Normal"/>
    <w:rPr>
      <w:color w:themeColor="dark1"/>
      <w:rFonts w:ascii="Calibri Light"/>
      <w:sz w:val="32"/>
    </w:rPr>
  </w:style>
</w:styles>
</file>

<file path=word/_rels/document.xml.rels>&#65279;<?xml version="1.0" encoding="utf-8"?><Relationships xmlns="http://schemas.openxmlformats.org/package/2006/relationships"><Relationship Type="http://schemas.openxmlformats.org/officeDocument/2006/relationships/footer" Target="/word/footer1.xml" Id="Rfbd721bd5a5c4a29" /><Relationship Type="http://schemas.openxmlformats.org/officeDocument/2006/relationships/header" Target="/word/header1.xml" Id="Rc0f7df2c5eb845fc" /><Relationship Type="http://schemas.openxmlformats.org/officeDocument/2006/relationships/settings" Target="/word/settings.xml" Id="Re63e3b6bbc4b4591" /><Relationship Type="http://schemas.openxmlformats.org/officeDocument/2006/relationships/styles" Target="/word/styles.xml" Id="R71d603330a764305" /><Relationship Type="http://schemas.openxmlformats.org/officeDocument/2006/relationships/numbering" Target="/word/numbering.xml" Id="R8a02865bfb4b4497" /><Relationship Type="http://schemas.openxmlformats.org/officeDocument/2006/relationships/hyperlink" Target="https://meteor.aihw.gov.au/RegistrationAuthority/12" TargetMode="External" Id="Reee03708cca94265" /><Relationship Type="http://schemas.openxmlformats.org/officeDocument/2006/relationships/hyperlink" Target="https://meteor.aihw.gov.au/content/723170" TargetMode="External" Id="R730e5ae89df241c4" /><Relationship Type="http://schemas.openxmlformats.org/officeDocument/2006/relationships/hyperlink" Target="https://meteor.aihw.gov.au/content/722666" TargetMode="External" Id="R0ddd8c84380149ed" /><Relationship Type="http://schemas.openxmlformats.org/officeDocument/2006/relationships/hyperlink" Target="https://meteor.aihw.gov.au/content/373049" TargetMode="External" Id="Rd551afb44f2e4ee5" /><Relationship Type="http://schemas.openxmlformats.org/officeDocument/2006/relationships/hyperlink" Target="https://meteor.aihw.gov.au/content/268984" TargetMode="External" Id="R93d262e0c4fe4455" /><Relationship Type="http://schemas.openxmlformats.org/officeDocument/2006/relationships/hyperlink" Target="https://meteor.aihw.gov.au/content/723170" TargetMode="External" Id="Ra0eed03579184c05" /><Relationship Type="http://schemas.openxmlformats.org/officeDocument/2006/relationships/hyperlink" Target="https://meteor.aihw.gov.au/content/376427" TargetMode="External" Id="Rc8aaedd577d645f6" /><Relationship Type="http://schemas.openxmlformats.org/officeDocument/2006/relationships/hyperlink" Target="https://meteor.aihw.gov.au/content/376510" TargetMode="External" Id="Rbada19e4ce0a473f" /><Relationship Type="http://schemas.openxmlformats.org/officeDocument/2006/relationships/hyperlink" Target="https://meteor.aihw.gov.au/content/750032" TargetMode="External" Id="R4b6429c082b34d24" /><Relationship Type="http://schemas.openxmlformats.org/officeDocument/2006/relationships/hyperlink" Target="https://meteor.aihw.gov.au/content/722655" TargetMode="External" Id="R8eec9c66363b47de" /><Relationship Type="http://schemas.openxmlformats.org/officeDocument/2006/relationships/hyperlink" Target="https://meteor.aihw.gov.au/content/722666" TargetMode="External" Id="R45352d4d9b504e70" /><Relationship Type="http://schemas.openxmlformats.org/officeDocument/2006/relationships/hyperlink" Target="https://meteor.aihw.gov.au/content/373049" TargetMode="External" Id="R5f044339e2074fcc" /><Relationship Type="http://schemas.openxmlformats.org/officeDocument/2006/relationships/hyperlink" Target="https://meteor.aihw.gov.au/content/327268" TargetMode="External" Id="Reb0f3fd775d041d1" /><Relationship Type="http://schemas.openxmlformats.org/officeDocument/2006/relationships/hyperlink" Target="https://meteor.aihw.gov.au/content/750030" TargetMode="External" Id="R7ab8d5fd6a7e4e02" /><Relationship Type="http://schemas.openxmlformats.org/officeDocument/2006/relationships/hyperlink" Target="https://meteor.aihw.gov.au/content/742165" TargetMode="External" Id="R0dc2b80affcb4404" /><Relationship Type="http://schemas.openxmlformats.org/officeDocument/2006/relationships/hyperlink" Target="https://meteor.aihw.gov.au/RegistrationAuthority/12" TargetMode="External" Id="R90f4248c0c58497d" /><Relationship Type="http://schemas.openxmlformats.org/officeDocument/2006/relationships/hyperlink" Target="https://meteor.aihw.gov.au/content/775776" TargetMode="External" Id="R5cae2a2fa1b746f2" /><Relationship Type="http://schemas.openxmlformats.org/officeDocument/2006/relationships/hyperlink" Target="https://meteor.aihw.gov.au/RegistrationAuthority/12" TargetMode="External" Id="R2ed47655d92d4a15" /><Relationship Type="http://schemas.openxmlformats.org/officeDocument/2006/relationships/hyperlink" Target="https://meteor.aihw.gov.au/content/756208" TargetMode="External" Id="Re8082debf6a54242" /><Relationship Type="http://schemas.openxmlformats.org/officeDocument/2006/relationships/hyperlink" Target="https://meteor.aihw.gov.au/RegistrationAuthority/12" TargetMode="External" Id="R447de59788d3469d" /><Relationship Type="http://schemas.openxmlformats.org/officeDocument/2006/relationships/hyperlink" Target="https://meteor.aihw.gov.au/content/806017" TargetMode="External" Id="R9e00c4e630a54162" /><Relationship Type="http://schemas.openxmlformats.org/officeDocument/2006/relationships/hyperlink" Target="https://meteor.aihw.gov.au/RegistrationAuthority/5" TargetMode="External" Id="Rdc8e50806cbd441e" /><Relationship Type="http://schemas.openxmlformats.org/officeDocument/2006/relationships/hyperlink" Target="https://meteor.aihw.gov.au/content/756423" TargetMode="External" Id="Rda26ca79f9554ba1" /><Relationship Type="http://schemas.openxmlformats.org/officeDocument/2006/relationships/hyperlink" Target="https://meteor.aihw.gov.au/RegistrationAuthority/12" TargetMode="External" Id="R775ab0366cc848ce" /><Relationship Type="http://schemas.openxmlformats.org/officeDocument/2006/relationships/hyperlink" Target="https://meteor.aihw.gov.au/content/746667" TargetMode="External" Id="R9b9334630eb9434a" /><Relationship Type="http://schemas.openxmlformats.org/officeDocument/2006/relationships/hyperlink" Target="https://meteor.aihw.gov.au/content/727343" TargetMode="External" Id="Ra5740cff11f346b9" /><Relationship Type="http://schemas.openxmlformats.org/officeDocument/2006/relationships/hyperlink" Target="https://meteor.aihw.gov.au/content/746665" TargetMode="External" Id="Re798c015fb3e4b60" /><Relationship Type="http://schemas.openxmlformats.org/officeDocument/2006/relationships/hyperlink" Target="https://meteor.aihw.gov.au/content/723189" TargetMode="External" Id="Rdef4b8d91b344705" /><Relationship Type="http://schemas.openxmlformats.org/officeDocument/2006/relationships/hyperlink" Target="https://meteor.aihw.gov.au/content/723192" TargetMode="External" Id="R207605b27d324156" /><Relationship Type="http://schemas.openxmlformats.org/officeDocument/2006/relationships/hyperlink" Target="https://meteor.aihw.gov.au/content/723194" TargetMode="External" Id="R954f23af29e04155" /><Relationship Type="http://schemas.openxmlformats.org/officeDocument/2006/relationships/hyperlink" Target="https://meteor.aihw.gov.au/content/723196" TargetMode="External" Id="Rb00bfdbba5a7465b" /><Relationship Type="http://schemas.openxmlformats.org/officeDocument/2006/relationships/hyperlink" Target="https://meteor.aihw.gov.au/content/723198" TargetMode="External" Id="R08f0c0b0d6744a6a" /><Relationship Type="http://schemas.openxmlformats.org/officeDocument/2006/relationships/hyperlink" Target="https://meteor.aihw.gov.au/content/723200" TargetMode="External" Id="Re07e7491e33b4f48" /><Relationship Type="http://schemas.openxmlformats.org/officeDocument/2006/relationships/hyperlink" Target="https://meteor.aihw.gov.au/content/720081" TargetMode="External" Id="R255b20276b354b0a" /><Relationship Type="http://schemas.openxmlformats.org/officeDocument/2006/relationships/hyperlink" Target="https://meteor.aihw.gov.au/content/269940" TargetMode="External" Id="Rad27676bf2314f34" /><Relationship Type="http://schemas.openxmlformats.org/officeDocument/2006/relationships/hyperlink" Target="https://meteor.aihw.gov.au/content/407187" TargetMode="External" Id="Rb25537343beb450d" /><Relationship Type="http://schemas.openxmlformats.org/officeDocument/2006/relationships/hyperlink" Target="https://meteor.aihw.gov.au/content/269977" TargetMode="External" Id="R23b5503f571d48e1" /><Relationship Type="http://schemas.openxmlformats.org/officeDocument/2006/relationships/hyperlink" Target="https://meteor.aihw.gov.au/content/404858" TargetMode="External" Id="R9680c9e722584283" /><Relationship Type="http://schemas.openxmlformats.org/officeDocument/2006/relationships/hyperlink" Target="https://meteor.aihw.gov.au/content/409209" TargetMode="External" Id="R66631c7b0a2a4229" /><Relationship Type="http://schemas.openxmlformats.org/officeDocument/2006/relationships/hyperlink" Target="https://meteor.aihw.gov.au/content/747315" TargetMode="External" Id="Rdfa85a61fbff40f8" /><Relationship Type="http://schemas.openxmlformats.org/officeDocument/2006/relationships/hyperlink" Target="https://meteor.aihw.gov.au/content/659454" TargetMode="External" Id="R5ee8e059934f4553" /><Relationship Type="http://schemas.openxmlformats.org/officeDocument/2006/relationships/hyperlink" Target="https://meteor.aihw.gov.au/content/287007" TargetMode="External" Id="R31f50dd975ac4965" /><Relationship Type="http://schemas.openxmlformats.org/officeDocument/2006/relationships/hyperlink" Target="https://meteor.aihw.gov.au/content/602543" TargetMode="External" Id="Rfa85dfb607314e42" /><Relationship Type="http://schemas.openxmlformats.org/officeDocument/2006/relationships/hyperlink" Target="https://meteor.aihw.gov.au/content/766507" TargetMode="External" Id="R69c8030a66d749d2" /><Relationship Type="http://schemas.openxmlformats.org/officeDocument/2006/relationships/hyperlink" Target="https://meteor.aihw.gov.au/content/290046" TargetMode="External" Id="R6b000b71e07244f4" /><Relationship Type="http://schemas.openxmlformats.org/officeDocument/2006/relationships/hyperlink" Target="https://meteor.aihw.gov.au/content/290046" TargetMode="External" Id="R0847343a23e04b44" /><Relationship Type="http://schemas.openxmlformats.org/officeDocument/2006/relationships/hyperlink" Target="https://meteor.aihw.gov.au/content/741686" TargetMode="External" Id="R65b0c63d9ba64dd1" /><Relationship Type="http://schemas.openxmlformats.org/officeDocument/2006/relationships/hyperlink" Target="https://meteor.aihw.gov.au/content/723256" TargetMode="External" Id="R55cfb8c83c9445f3" /><Relationship Type="http://schemas.openxmlformats.org/officeDocument/2006/relationships/hyperlink" Target="https://meteor.aihw.gov.au/content/404186" TargetMode="External" Id="R051b711b429a4a3e" /><Relationship Type="http://schemas.openxmlformats.org/officeDocument/2006/relationships/hyperlink" Target="https://meteor.aihw.gov.au/content/405767" TargetMode="External" Id="R42710255105949aa" /><Relationship Type="http://schemas.openxmlformats.org/officeDocument/2006/relationships/hyperlink" Target="https://meteor.aihw.gov.au/content/722711" TargetMode="External" Id="R502ae35cecb04659" /><Relationship Type="http://schemas.openxmlformats.org/officeDocument/2006/relationships/hyperlink" Target="https://meteor.aihw.gov.au/content/722715" TargetMode="External" Id="Rb833caade8394b4c" /></Relationships>
</file>

<file path=word/_rels/header1.xml.rels>&#65279;<?xml version="1.0" encoding="utf-8"?><Relationships xmlns="http://schemas.openxmlformats.org/package/2006/relationships"><Relationship Type="http://schemas.openxmlformats.org/officeDocument/2006/relationships/image" Target="/media/image.png" Id="R881adb1cc42348c2" /></Relationships>
</file>