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widowControl w:val="1"/>
        <w:ind/>
        <w:jc w:val="left"/>
        <w:rPr>
          <w:rFonts w:ascii="Courier New" w:hAnsi="Courier New"/>
          <w:b w:val="1"/>
          <w:color w:val="000000"/>
          <w:sz w:val="16"/>
          <w:u w:val="single"/>
        </w:rPr>
      </w:pPr>
      <w:r>
        <w:rPr>
          <w:rFonts w:ascii="Courier New" w:hAnsi="Courier New"/>
          <w:b w:val="1"/>
          <w:color w:val="000000"/>
          <w:sz w:val="16"/>
          <w:u w:val="single"/>
        </w:rPr>
        <w:t>Курс. Data Quality (качество данных).</w:t>
      </w:r>
    </w:p>
    <w:p w14:paraId="02000000">
      <w:pPr>
        <w:rPr>
          <w:sz w:val="2"/>
        </w:rPr>
      </w:pPr>
      <w:r>
        <w:rPr>
          <w:rStyle w:val="Style_2_ch"/>
          <w:rFonts w:ascii="Courier New" w:hAnsi="Courier New"/>
          <w:color w:val="000000"/>
          <w:sz w:val="14"/>
        </w:rPr>
        <w:fldChar w:fldCharType="begin"/>
      </w:r>
      <w:r>
        <w:rPr>
          <w:rStyle w:val="Style_2_ch"/>
          <w:rFonts w:ascii="Courier New" w:hAnsi="Courier New"/>
          <w:color w:val="000000"/>
          <w:sz w:val="14"/>
        </w:rPr>
        <w:instrText>HYPERLINK "https://stepik.org/course/212256/syllabus"</w:instrText>
      </w:r>
      <w:r>
        <w:rPr>
          <w:rStyle w:val="Style_2_ch"/>
          <w:rFonts w:ascii="Courier New" w:hAnsi="Courier New"/>
          <w:color w:val="000000"/>
          <w:sz w:val="14"/>
        </w:rPr>
        <w:fldChar w:fldCharType="separate"/>
      </w:r>
      <w:r>
        <w:rPr>
          <w:rStyle w:val="Style_2_ch"/>
          <w:rFonts w:ascii="Courier New" w:hAnsi="Courier New"/>
          <w:color w:val="000000"/>
          <w:sz w:val="14"/>
        </w:rPr>
        <w:t>https://stepik.org/course/212256/syllabus</w:t>
      </w:r>
      <w:r>
        <w:rPr>
          <w:rStyle w:val="Style_2_ch"/>
          <w:rFonts w:ascii="Courier New" w:hAnsi="Courier New"/>
          <w:color w:val="000000"/>
          <w:sz w:val="14"/>
        </w:rPr>
        <w:fldChar w:fldCharType="end"/>
      </w:r>
    </w:p>
    <w:tbl>
      <w:tblPr>
        <w:tblW w:type="auto" w:w="0"/>
        <w:tblInd w:type="dxa" w:w="12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657"/>
        <w:gridCol w:w="6663"/>
      </w:tblGrid>
      <w:tr>
        <w:trPr>
          <w:trHeight w:hRule="atLeast" w:val="360"/>
        </w:trPr>
        <w:tc>
          <w:tcPr>
            <w:tcW w:type="dxa" w:w="10319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accent6" w:themeFillTint="66" w:val="clear"/>
          </w:tcPr>
          <w:p w14:paraId="03000000">
            <w:pPr>
              <w:pStyle w:val="Style_1"/>
              <w:widowControl w:val="1"/>
              <w:spacing w:after="0" w:before="0"/>
              <w:ind/>
              <w:jc w:val="left"/>
              <w:rPr>
                <w:rFonts w:ascii="Courier New" w:hAnsi="Courier New"/>
                <w:b w:val="0"/>
                <w:color w:val="000000"/>
                <w:sz w:val="20"/>
                <w:shd w:fill="CAA4FF" w:val="clear"/>
              </w:rPr>
            </w:pPr>
            <w:r>
              <w:rPr>
                <w:rFonts w:ascii="Courier New" w:hAnsi="Courier New"/>
                <w:b w:val="1"/>
                <w:color w:val="000000"/>
                <w:sz w:val="20"/>
              </w:rPr>
              <w:t>Тема:</w:t>
            </w:r>
            <w:r>
              <w:rPr>
                <w:rFonts w:ascii="Courier New" w:hAnsi="Courier New"/>
                <w:b w:val="0"/>
                <w:color w:val="000000"/>
                <w:sz w:val="20"/>
              </w:rPr>
              <w:t xml:space="preserve"> </w:t>
            </w:r>
            <w:r>
              <w:rPr>
                <w:rFonts w:ascii="Courier New" w:hAnsi="Courier New"/>
                <w:b w:val="0"/>
                <w:i w:val="0"/>
                <w:caps w:val="0"/>
                <w:color w:val="000000"/>
                <w:spacing w:val="0"/>
                <w:sz w:val="20"/>
              </w:rPr>
              <w:t xml:space="preserve">1.1 </w:t>
            </w:r>
            <w:r>
              <w:rPr>
                <w:rFonts w:ascii="Courier New" w:hAnsi="Courier New"/>
                <w:b w:val="0"/>
                <w:i w:val="0"/>
                <w:caps w:val="0"/>
                <w:color w:val="000000"/>
                <w:spacing w:val="0"/>
                <w:sz w:val="20"/>
              </w:rPr>
              <w:t>Качество данных - почему это важно?</w:t>
            </w:r>
          </w:p>
        </w:tc>
      </w:tr>
      <w:tr>
        <w:trPr>
          <w:trHeight w:hRule="atLeast" w:val="360"/>
        </w:trPr>
        <w:tc>
          <w:tcPr>
            <w:tcW w:type="dxa" w:w="36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C6E0B3" w:val="clear"/>
          </w:tcPr>
          <w:p w14:paraId="04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1"/>
                <w:color w:val="000000"/>
                <w:sz w:val="20"/>
              </w:rPr>
            </w:pPr>
            <w:r>
              <w:rPr>
                <w:rFonts w:ascii="Courier New" w:hAnsi="Courier New"/>
                <w:b w:val="1"/>
                <w:color w:val="000000"/>
                <w:sz w:val="20"/>
              </w:rPr>
              <w:t>К</w:t>
            </w:r>
            <w:r>
              <w:rPr>
                <w:rFonts w:ascii="Courier New" w:hAnsi="Courier New"/>
                <w:b w:val="1"/>
                <w:color w:val="000000"/>
                <w:sz w:val="20"/>
              </w:rPr>
              <w:t>люче</w:t>
            </w:r>
            <w:r>
              <w:rPr>
                <w:rFonts w:ascii="Courier New" w:hAnsi="Courier New"/>
                <w:b w:val="1"/>
                <w:color w:val="000000"/>
                <w:sz w:val="20"/>
              </w:rPr>
              <w:t>вые мысли:</w:t>
            </w:r>
          </w:p>
        </w:tc>
        <w:tc>
          <w:tcPr>
            <w:tcW w:type="dxa" w:w="66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C6E0B3" w:val="clear"/>
          </w:tcPr>
          <w:p w14:paraId="05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1"/>
                <w:i w:val="0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1"/>
                <w:i w:val="0"/>
                <w:caps w:val="0"/>
                <w:color w:val="000000"/>
                <w:spacing w:val="-5"/>
                <w:sz w:val="20"/>
              </w:rPr>
              <w:t>Детали:</w:t>
            </w:r>
          </w:p>
        </w:tc>
      </w:tr>
      <w:tr>
        <w:trPr>
          <w:trHeight w:hRule="atLeast" w:val="360"/>
        </w:trPr>
        <w:tc>
          <w:tcPr>
            <w:tcW w:type="dxa" w:w="36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1"/>
                <w:color w:val="000000"/>
                <w:sz w:val="20"/>
              </w:rPr>
            </w:pPr>
            <w:r>
              <w:rPr>
                <w:rFonts w:ascii="Courier New" w:hAnsi="Courier New"/>
                <w:b w:val="1"/>
                <w:color w:val="000000"/>
                <w:sz w:val="20"/>
              </w:rPr>
              <w:t xml:space="preserve"> </w:t>
            </w:r>
            <w:r>
              <w:rPr>
                <w:rFonts w:ascii="Courier New" w:hAnsi="Courier New"/>
                <w:b w:val="1"/>
                <w:color w:val="000000"/>
                <w:sz w:val="20"/>
              </w:rPr>
              <w:t xml:space="preserve"> Данные – новая нефть.</w:t>
            </w:r>
          </w:p>
        </w:tc>
        <w:tc>
          <w:tcPr>
            <w:tcW w:type="dxa" w:w="66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Индустрия data science строится на обработке данных для улучшения процессов и оптимизации бизнеса.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</w:t>
            </w:r>
          </w:p>
        </w:tc>
      </w:tr>
      <w:tr>
        <w:trPr>
          <w:trHeight w:hRule="atLeast" w:val="360"/>
        </w:trPr>
        <w:tc>
          <w:tcPr>
            <w:tcW w:type="dxa" w:w="36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1"/>
                <w:color w:val="000000"/>
                <w:sz w:val="20"/>
              </w:rPr>
            </w:pPr>
            <w:r>
              <w:rPr>
                <w:rFonts w:ascii="Courier New" w:hAnsi="Courier New"/>
                <w:b w:val="1"/>
                <w:color w:val="000000"/>
                <w:sz w:val="20"/>
              </w:rPr>
              <w:t xml:space="preserve">  Доверие к данным</w:t>
            </w:r>
          </w:p>
          <w:p w14:paraId="09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1"/>
                <w:color w:val="000000"/>
                <w:sz w:val="20"/>
              </w:rPr>
            </w:pPr>
          </w:p>
        </w:tc>
        <w:tc>
          <w:tcPr>
            <w:tcW w:type="dxa" w:w="66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Принятие решений руководством возможно лишь при наличии качественных данных.</w:t>
            </w:r>
          </w:p>
        </w:tc>
      </w:tr>
      <w:tr>
        <w:trPr>
          <w:trHeight w:hRule="atLeast" w:val="360"/>
        </w:trPr>
        <w:tc>
          <w:tcPr>
            <w:tcW w:type="dxa" w:w="36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1"/>
                <w:color w:val="000000"/>
                <w:sz w:val="20"/>
              </w:rPr>
            </w:pPr>
            <w:r>
              <w:rPr>
                <w:rFonts w:ascii="Courier New" w:hAnsi="Courier New"/>
                <w:b w:val="1"/>
                <w:color w:val="000000"/>
                <w:sz w:val="20"/>
              </w:rPr>
              <w:t xml:space="preserve">  Качество данных критично</w:t>
            </w:r>
          </w:p>
        </w:tc>
        <w:tc>
          <w:tcPr>
            <w:tcW w:type="dxa" w:w="66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Некачественные данные приводят к финансовым потерям и снижению репутации компании</w:t>
            </w:r>
          </w:p>
          <w:p w14:paraId="0D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</w:p>
        </w:tc>
      </w:tr>
      <w:tr>
        <w:trPr>
          <w:trHeight w:hRule="atLeast" w:val="360"/>
        </w:trPr>
        <w:tc>
          <w:tcPr>
            <w:tcW w:type="dxa" w:w="36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1"/>
                <w:color w:val="000000"/>
                <w:sz w:val="20"/>
              </w:rPr>
            </w:pPr>
            <w:r>
              <w:rPr>
                <w:rFonts w:ascii="Courier New" w:hAnsi="Courier New"/>
                <w:b w:val="1"/>
                <w:i w:val="0"/>
                <w:caps w:val="0"/>
                <w:color w:val="000000"/>
                <w:spacing w:val="-5"/>
                <w:sz w:val="20"/>
                <w:shd w:fill="FFFFFF" w:val="clear"/>
              </w:rPr>
              <w:t xml:space="preserve">  Основные проблемы</w:t>
            </w:r>
          </w:p>
        </w:tc>
        <w:tc>
          <w:tcPr>
            <w:tcW w:type="dxa" w:w="66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Модели с низким уровнем точности создают риски потерь и снижают доверие сотрудников и клиентов.</w:t>
            </w:r>
          </w:p>
          <w:p w14:paraId="10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</w:p>
        </w:tc>
      </w:tr>
      <w:tr>
        <w:trPr>
          <w:trHeight w:hRule="atLeast" w:val="360"/>
        </w:trPr>
        <w:tc>
          <w:tcPr>
            <w:tcW w:type="dxa" w:w="36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1"/>
                <w:color w:val="000000"/>
                <w:sz w:val="20"/>
              </w:rPr>
            </w:pPr>
            <w:r>
              <w:rPr>
                <w:rFonts w:ascii="Courier New" w:hAnsi="Courier New"/>
                <w:b w:val="1"/>
                <w:i w:val="0"/>
                <w:caps w:val="0"/>
                <w:color w:val="000000"/>
                <w:spacing w:val="-5"/>
                <w:sz w:val="20"/>
                <w:shd w:fill="FFFFFF" w:val="clear"/>
              </w:rPr>
              <w:t xml:space="preserve">  Роль Data Quality</w:t>
            </w:r>
          </w:p>
        </w:tc>
        <w:tc>
          <w:tcPr>
            <w:tcW w:type="dxa" w:w="66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Подразделение data science, ответственное за повышение качества данных.</w:t>
            </w:r>
          </w:p>
        </w:tc>
      </w:tr>
      <w:tr>
        <w:trPr>
          <w:trHeight w:hRule="atLeast" w:val="360"/>
        </w:trPr>
        <w:tc>
          <w:tcPr>
            <w:tcW w:type="dxa" w:w="36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1"/>
                <w:color w:val="000000"/>
                <w:sz w:val="20"/>
              </w:rPr>
            </w:pPr>
            <w:r>
              <w:rPr>
                <w:rFonts w:ascii="Courier New" w:hAnsi="Courier New"/>
                <w:b w:val="1"/>
                <w:i w:val="0"/>
                <w:caps w:val="0"/>
                <w:color w:val="000000"/>
                <w:spacing w:val="-5"/>
                <w:sz w:val="20"/>
                <w:shd w:fill="FFFFFF" w:val="clear"/>
              </w:rPr>
              <w:t xml:space="preserve">  Факторы качества данных</w:t>
            </w:r>
          </w:p>
        </w:tc>
        <w:tc>
          <w:tcPr>
            <w:tcW w:type="dxa" w:w="66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Показатели качества различаются в зависимости от специфики задачи и отрасли.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</w:t>
            </w:r>
          </w:p>
        </w:tc>
      </w:tr>
      <w:tr>
        <w:trPr>
          <w:trHeight w:hRule="atLeast" w:val="360"/>
        </w:trPr>
        <w:tc>
          <w:tcPr>
            <w:tcW w:type="dxa" w:w="36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1"/>
                <w:i w:val="0"/>
                <w:caps w:val="0"/>
                <w:color w:val="000000"/>
                <w:spacing w:val="-5"/>
                <w:sz w:val="20"/>
                <w:shd w:fill="FFFFFF" w:val="clear"/>
              </w:rPr>
            </w:pPr>
            <w:r>
              <w:rPr>
                <w:rFonts w:ascii="Courier New" w:hAnsi="Courier New"/>
                <w:b w:val="1"/>
                <w:i w:val="0"/>
                <w:caps w:val="0"/>
                <w:color w:val="000000"/>
                <w:spacing w:val="-5"/>
                <w:sz w:val="20"/>
                <w:shd w:fill="FFFFFF" w:val="clear"/>
              </w:rPr>
              <w:t xml:space="preserve">  История вопроса</w:t>
            </w:r>
          </w:p>
          <w:p w14:paraId="16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1"/>
                <w:color w:val="000000"/>
                <w:sz w:val="20"/>
              </w:rPr>
            </w:pPr>
          </w:p>
        </w:tc>
        <w:tc>
          <w:tcPr>
            <w:tcW w:type="dxa" w:w="66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Первые исследования в области качества данных появились в начале 1970-х годов.</w:t>
            </w:r>
          </w:p>
        </w:tc>
      </w:tr>
      <w:tr>
        <w:trPr>
          <w:trHeight w:hRule="atLeast" w:val="360"/>
        </w:trPr>
        <w:tc>
          <w:tcPr>
            <w:tcW w:type="dxa" w:w="36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1"/>
                <w:i w:val="0"/>
                <w:caps w:val="0"/>
                <w:color w:val="000000"/>
                <w:spacing w:val="-5"/>
                <w:sz w:val="20"/>
                <w:shd w:fill="FFFFFF" w:val="clear"/>
              </w:rPr>
            </w:pPr>
            <w:r>
              <w:rPr>
                <w:rFonts w:ascii="Courier New" w:hAnsi="Courier New"/>
                <w:b w:val="1"/>
                <w:i w:val="0"/>
                <w:caps w:val="0"/>
                <w:color w:val="000000"/>
                <w:spacing w:val="-5"/>
                <w:sz w:val="20"/>
                <w:shd w:fill="FFFFFF" w:val="clear"/>
              </w:rPr>
              <w:t xml:space="preserve">  Современные тенденции</w:t>
            </w:r>
          </w:p>
        </w:tc>
        <w:tc>
          <w:tcPr>
            <w:tcW w:type="dxa" w:w="66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Наблюдается значительный рост спроса на специалистов по контролю качества данных.</w:t>
            </w:r>
          </w:p>
        </w:tc>
      </w:tr>
      <w:tr>
        <w:trPr>
          <w:trHeight w:hRule="atLeast" w:val="360"/>
        </w:trPr>
        <w:tc>
          <w:tcPr>
            <w:tcW w:type="dxa" w:w="36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1"/>
                <w:i w:val="0"/>
                <w:caps w:val="0"/>
                <w:color w:val="000000"/>
                <w:spacing w:val="-5"/>
                <w:sz w:val="20"/>
                <w:shd w:fill="FFFFFF" w:val="clear"/>
              </w:rPr>
            </w:pPr>
            <w:r>
              <w:rPr>
                <w:rFonts w:ascii="Courier New" w:hAnsi="Courier New"/>
                <w:b w:val="1"/>
                <w:i w:val="0"/>
                <w:caps w:val="0"/>
                <w:color w:val="000000"/>
                <w:spacing w:val="-5"/>
                <w:sz w:val="20"/>
                <w:shd w:fill="FFFFFF" w:val="clear"/>
              </w:rPr>
              <w:t xml:space="preserve">  Используемые технологии </w:t>
            </w:r>
          </w:p>
        </w:tc>
        <w:tc>
          <w:tcPr>
            <w:tcW w:type="dxa" w:w="66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Основной инструментарий: Python и SQL.</w:t>
            </w:r>
          </w:p>
        </w:tc>
      </w:tr>
      <w:tr>
        <w:trPr>
          <w:trHeight w:hRule="atLeast" w:val="360"/>
        </w:trPr>
        <w:tc>
          <w:tcPr>
            <w:tcW w:type="dxa" w:w="10319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C6E0B3" w:val="clear"/>
          </w:tcPr>
          <w:p w14:paraId="1C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1"/>
                <w:color w:val="000000"/>
                <w:sz w:val="20"/>
              </w:rPr>
              <w:t>Pезюме: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Data quality (качество данных) — это степень, в которой набор данных соответствует своим требованиям и потребностям пользователей. Качество данных включает в себя такие характеристики, как точность, полнота, своевременность, согласованность, доступность и уникальность. </w:t>
            </w:r>
          </w:p>
          <w:p w14:paraId="1D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 Data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quality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— ключевой компонент эффективного применения Data Science. Надежные и точные данные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напрямую влияют на качество принимаемых решений, эффективность бизнес-процессов и доверие к анализу данных.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Недостаточное качество данных влечет значительные риски и убытки.</w:t>
            </w:r>
          </w:p>
        </w:tc>
      </w:tr>
      <w:tr>
        <w:trPr>
          <w:trHeight w:hRule="atLeast" w:val="360"/>
        </w:trPr>
        <w:tc>
          <w:tcPr>
            <w:tcW w:type="dxa" w:w="10319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1"/>
                <w:color w:val="000000"/>
                <w:sz w:val="20"/>
              </w:rPr>
            </w:pPr>
            <w:r>
              <w:rPr>
                <w:rFonts w:ascii="Courier New" w:hAnsi="Courier New"/>
                <w:b w:val="1"/>
                <w:color w:val="000000"/>
                <w:sz w:val="20"/>
              </w:rPr>
              <w:t>Тема:</w:t>
            </w:r>
            <w:r>
              <w:rPr>
                <w:rFonts w:ascii="Courier New" w:hAnsi="Courier New"/>
                <w:b w:val="0"/>
                <w:i w:val="0"/>
                <w:caps w:val="0"/>
                <w:color w:val="000000"/>
                <w:spacing w:val="0"/>
                <w:sz w:val="20"/>
              </w:rPr>
              <w:t xml:space="preserve"> 2.1</w:t>
            </w:r>
            <w:r>
              <w:rPr>
                <w:rFonts w:ascii="Courier New" w:hAnsi="Courier New"/>
                <w:b w:val="0"/>
                <w:i w:val="0"/>
                <w:caps w:val="0"/>
                <w:color w:val="000000"/>
                <w:spacing w:val="0"/>
                <w:sz w:val="20"/>
              </w:rPr>
              <w:t>: Ключевые проверки качества данных (GE)</w:t>
            </w:r>
          </w:p>
        </w:tc>
      </w:tr>
      <w:tr>
        <w:trPr>
          <w:trHeight w:hRule="atLeast" w:val="360"/>
        </w:trPr>
        <w:tc>
          <w:tcPr>
            <w:tcW w:type="dxa" w:w="36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rPr>
                <w:rFonts w:ascii="Courier New" w:hAnsi="Courier New"/>
                <w:b w:val="0"/>
                <w:color w:val="000000"/>
                <w:sz w:val="20"/>
                <w:shd w:fill="FF70B6" w:val="clear"/>
              </w:rPr>
            </w:pPr>
            <w:r>
              <w:rPr>
                <w:rFonts w:ascii="Courier New" w:hAnsi="Courier New"/>
                <w:b w:val="1"/>
                <w:color w:val="000000"/>
                <w:sz w:val="20"/>
              </w:rPr>
              <w:t>К</w:t>
            </w:r>
            <w:r>
              <w:rPr>
                <w:rFonts w:ascii="Courier New" w:hAnsi="Courier New"/>
                <w:b w:val="1"/>
                <w:color w:val="000000"/>
                <w:sz w:val="20"/>
              </w:rPr>
              <w:t>люче</w:t>
            </w:r>
            <w:r>
              <w:rPr>
                <w:rFonts w:ascii="Courier New" w:hAnsi="Courier New"/>
                <w:b w:val="1"/>
                <w:color w:val="000000"/>
                <w:sz w:val="20"/>
              </w:rPr>
              <w:t>вые мысли:</w:t>
            </w:r>
          </w:p>
        </w:tc>
        <w:tc>
          <w:tcPr>
            <w:tcW w:type="dxa" w:w="66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1"/>
                <w:i w:val="0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1"/>
                <w:i w:val="0"/>
                <w:caps w:val="0"/>
                <w:color w:val="000000"/>
                <w:spacing w:val="-5"/>
                <w:sz w:val="20"/>
              </w:rPr>
              <w:t>Детали:</w:t>
            </w:r>
          </w:p>
        </w:tc>
      </w:tr>
      <w:tr>
        <w:trPr>
          <w:trHeight w:hRule="atLeast" w:val="360"/>
        </w:trPr>
        <w:tc>
          <w:tcPr>
            <w:tcW w:type="dxa" w:w="36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pPr>
              <w:rPr>
                <w:rFonts w:ascii="Courier New" w:hAnsi="Courier New"/>
                <w:b w:val="1"/>
                <w:color w:val="000000"/>
                <w:sz w:val="20"/>
              </w:rPr>
            </w:pPr>
            <w:r>
              <w:rPr>
                <w:rFonts w:ascii="Courier New" w:hAnsi="Courier New"/>
                <w:b w:val="1"/>
                <w:color w:val="000000"/>
                <w:sz w:val="20"/>
              </w:rPr>
              <w:t>Инструменты</w:t>
            </w:r>
          </w:p>
        </w:tc>
        <w:tc>
          <w:tcPr>
            <w:tcW w:type="dxa" w:w="66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1.VS Code или Jupyter Notebook</w:t>
            </w:r>
          </w:p>
          <w:p w14:paraId="23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2.Библиотека проверок качества данных</w:t>
            </w:r>
          </w:p>
          <w:p w14:paraId="24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pip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install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great_expectations==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0.18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.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11</w:t>
            </w:r>
          </w:p>
          <w:p w14:paraId="25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3.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Pandas — это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библиотека Python для работы с данными, которая упрощает их обработку, анализ и манипулирование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. Она предоставляет две основные структуры данных —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fldChar w:fldCharType="begin"/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instrText>HYPERLINK "https://www.google.com/search?q=Series&amp;oq=pandad+%D1%87%D1%82%D0%BE+%D1%8D%D1%82%D0%BE+%D1%82%D0%B0%D0%BA%D0%BE%D0%B5+%D0%B8+%D0%B7%D0%B0%D1%87%D0%B5%D0%BC+%D0%BD%D1%83%D0%B6%D0%B5%D0%BD&amp;gs_lcrp=EgZjaHJvbWUyBggAEEUYOTIKCAEQABiABBiiBDIHCAIQABjvBTIKCAMQABiABBiiBNIBCTEzNzc4ajBqN6gCALACAA&amp;sourceid=chrome&amp;ie=UTF-8&amp;mstk=AUtExfDd0QXBHm1CYWfGWRa-6CJw2T76UZEhvl3YH6PClHrqdwKrSQgU14ZHjrFhTrSd9CihMMAtxSXHj-vPq7tRoV9EHs7oa6VU8UPbC06HbjLBCvgj7WwgRxb1xOOSq-E5MqE&amp;csui=3&amp;ved=2ahUKEwjo4p-WxJyRAxUqHRAIHbp_HDQQgK4QegQIARAC"</w:instrTex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fldChar w:fldCharType="separate"/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Series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fldChar w:fldCharType="end"/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(одномерный массив) и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fldChar w:fldCharType="begin"/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instrText>HYPERLINK "https://www.google.com/search?q=DataFrame&amp;oq=pandad+%D1%87%D1%82%D0%BE+%D1%8D%D1%82%D0%BE+%D1%82%D0%B0%D0%BA%D0%BE%D0%B5+%D0%B8+%D0%B7%D0%B0%D1%87%D0%B5%D0%BC+%D0%BD%D1%83%D0%B6%D0%B5%D0%BD&amp;gs_lcrp=EgZjaHJvbWUyBggAEEUYOTIKCAEQABiABBiiBDIHCAIQABjvBTIKCAMQABiABBiiBNIBCTEzNzc4ajBqN6gCALACAA&amp;sourceid=chrome&amp;ie=UTF-8&amp;mstk=AUtExfDd0QXBHm1CYWfGWRa-6CJw2T76UZEhvl3YH6PClHrqdwKrSQgU14ZHjrFhTrSd9CihMMAtxSXHj-vPq7tRoV9EHs7oa6VU8UPbC06HbjLBCvgj7WwgRxb1xOOSq-E5MqE&amp;csui=3&amp;ved=2ahUKEwjo4p-WxJyRAxUqHRAIHbp_HDQQgK4QegQIARAD"</w:instrTex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fldChar w:fldCharType="separate"/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DataFrame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fldChar w:fldCharType="end"/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(двумерная таблица), позволяя выполнять такие задачи, как: загрузка и сохранение данных, фильтрация, очистка, объединение таблиц и расчёт статистических показателей.</w:t>
            </w:r>
          </w:p>
          <w:p w14:paraId="26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fldChar w:fldCharType="begin"/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instrText>HYPERLINK "https://stepik.org/media/attachments/lesson/1410593/titanic.csv"</w:instrTex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fldChar w:fldCharType="separate"/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4.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fldChar w:fldCharType="end"/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Классический датасет титаник </w:t>
            </w:r>
          </w:p>
          <w:p w14:paraId="27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5. Прекрасная статья о качестве данных </w:t>
            </w:r>
            <w:r>
              <w:rPr>
                <w:rFonts w:ascii="Courier New" w:hAnsi="Courier New"/>
                <w:b w:val="0"/>
                <w:i w:val="1"/>
                <w:caps w:val="0"/>
                <w:color w:val="222222"/>
                <w:spacing w:val="0"/>
                <w:sz w:val="20"/>
                <w:highlight w:val="white"/>
              </w:rPr>
              <w:t>- </w:t>
            </w:r>
            <w:r>
              <w:rPr>
                <w:rFonts w:ascii="Courier New" w:hAnsi="Courier New"/>
                <w:b w:val="0"/>
                <w:i w:val="1"/>
                <w:caps w:val="0"/>
                <w:color w:val="4485ED"/>
                <w:spacing w:val="0"/>
                <w:sz w:val="20"/>
                <w:highlight w:val="white"/>
                <w:u w:color="000000" w:val="single"/>
              </w:rPr>
              <w:fldChar w:fldCharType="begin"/>
            </w:r>
            <w:r>
              <w:rPr>
                <w:rFonts w:ascii="Courier New" w:hAnsi="Courier New"/>
                <w:b w:val="0"/>
                <w:i w:val="1"/>
                <w:caps w:val="0"/>
                <w:color w:val="4485ED"/>
                <w:spacing w:val="0"/>
                <w:sz w:val="20"/>
                <w:highlight w:val="white"/>
                <w:u w:color="000000" w:val="single"/>
              </w:rPr>
              <w:instrText>HYPERLINK "https://habr.com/ru/articles/739254/"</w:instrText>
            </w:r>
            <w:r>
              <w:rPr>
                <w:rFonts w:ascii="Courier New" w:hAnsi="Courier New"/>
                <w:b w:val="0"/>
                <w:i w:val="1"/>
                <w:caps w:val="0"/>
                <w:color w:val="4485ED"/>
                <w:spacing w:val="0"/>
                <w:sz w:val="20"/>
                <w:highlight w:val="white"/>
                <w:u w:color="000000" w:val="single"/>
              </w:rPr>
              <w:fldChar w:fldCharType="separate"/>
            </w:r>
            <w:r>
              <w:rPr>
                <w:rFonts w:ascii="Courier New" w:hAnsi="Courier New"/>
                <w:b w:val="0"/>
                <w:i w:val="1"/>
                <w:caps w:val="0"/>
                <w:color w:val="4485ED"/>
                <w:spacing w:val="0"/>
                <w:sz w:val="20"/>
                <w:highlight w:val="white"/>
                <w:u w:color="000000" w:val="single"/>
              </w:rPr>
              <w:t>Размерности качества данных: обеспечение качества данных с помощью Great Expectations / Хабр (habr.com)</w:t>
            </w:r>
            <w:r>
              <w:rPr>
                <w:rFonts w:ascii="Courier New" w:hAnsi="Courier New"/>
                <w:b w:val="0"/>
                <w:i w:val="1"/>
                <w:caps w:val="0"/>
                <w:color w:val="4485ED"/>
                <w:spacing w:val="0"/>
                <w:sz w:val="20"/>
                <w:highlight w:val="white"/>
                <w:u w:color="000000" w:val="single"/>
              </w:rPr>
              <w:fldChar w:fldCharType="end"/>
            </w:r>
          </w:p>
          <w:p w14:paraId="28000000">
            <w:pPr>
              <w:spacing w:after="0" w:before="0"/>
              <w:ind w:firstLine="0" w:left="0" w:right="0"/>
              <w:jc w:val="left"/>
              <w:rPr>
                <w:rFonts w:ascii="Courier New" w:hAnsi="Courier New"/>
                <w:b w:val="0"/>
                <w:i w:val="1"/>
                <w:caps w:val="0"/>
                <w:color w:val="222222"/>
                <w:spacing w:val="0"/>
                <w:sz w:val="20"/>
                <w:highlight w:val="white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4485ED"/>
                <w:spacing w:val="0"/>
                <w:sz w:val="20"/>
                <w:highlight w:val="white"/>
                <w:u w:color="000000" w:val="single"/>
              </w:rPr>
              <w:fldChar w:fldCharType="begin"/>
            </w:r>
            <w:r>
              <w:rPr>
                <w:rFonts w:ascii="Courier New" w:hAnsi="Courier New"/>
                <w:b w:val="0"/>
                <w:i w:val="1"/>
                <w:caps w:val="0"/>
                <w:color w:val="4485ED"/>
                <w:spacing w:val="0"/>
                <w:sz w:val="20"/>
                <w:highlight w:val="white"/>
                <w:u w:color="000000" w:val="single"/>
              </w:rPr>
              <w:instrText>HYPERLINK "https://greatexpectations.io/expectations/"</w:instrText>
            </w:r>
            <w:r>
              <w:rPr>
                <w:rFonts w:ascii="Courier New" w:hAnsi="Courier New"/>
                <w:b w:val="0"/>
                <w:i w:val="1"/>
                <w:caps w:val="0"/>
                <w:color w:val="4485ED"/>
                <w:spacing w:val="0"/>
                <w:sz w:val="20"/>
                <w:highlight w:val="white"/>
                <w:u w:color="000000" w:val="single"/>
              </w:rPr>
              <w:fldChar w:fldCharType="separate"/>
            </w:r>
            <w:r>
              <w:rPr>
                <w:rFonts w:ascii="Courier New" w:hAnsi="Courier New"/>
                <w:b w:val="0"/>
                <w:i w:val="1"/>
                <w:caps w:val="0"/>
                <w:color w:val="4485ED"/>
                <w:spacing w:val="0"/>
                <w:sz w:val="20"/>
                <w:highlight w:val="white"/>
                <w:u w:color="000000" w:val="single"/>
              </w:rPr>
              <w:t>6.GX Expectations Gallery • Great Expectations</w:t>
            </w:r>
            <w:r>
              <w:rPr>
                <w:rFonts w:ascii="Courier New" w:hAnsi="Courier New"/>
                <w:b w:val="0"/>
                <w:i w:val="1"/>
                <w:caps w:val="0"/>
                <w:color w:val="4485ED"/>
                <w:spacing w:val="0"/>
                <w:sz w:val="20"/>
                <w:highlight w:val="white"/>
                <w:u w:color="000000" w:val="single"/>
              </w:rPr>
              <w:fldChar w:fldCharType="end"/>
            </w:r>
            <w:r>
              <w:rPr>
                <w:rFonts w:ascii="Courier New" w:hAnsi="Courier New"/>
                <w:b w:val="0"/>
                <w:i w:val="1"/>
                <w:caps w:val="0"/>
                <w:color w:val="222222"/>
                <w:spacing w:val="0"/>
                <w:sz w:val="20"/>
                <w:highlight w:val="white"/>
              </w:rPr>
              <w:t> - дока по всем проверкам (expectation, что переводится как "ожидание")</w:t>
            </w:r>
          </w:p>
          <w:p w14:paraId="29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Great Expectations – большие ожидания</w:t>
            </w:r>
          </w:p>
          <w:p w14:paraId="2A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С помощью библиотек Pandas и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Great Expectations(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GE) формируется Data Frame(табличка) в которой проверяется содержательная часть столбца, н.м. на пустые значения.</w:t>
            </w:r>
          </w:p>
        </w:tc>
      </w:tr>
      <w:tr>
        <w:trPr>
          <w:trHeight w:hRule="atLeast" w:val="360"/>
        </w:trPr>
        <w:tc>
          <w:tcPr>
            <w:tcW w:type="dxa" w:w="36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rPr>
                <w:rFonts w:ascii="Courier New" w:hAnsi="Courier New"/>
                <w:b w:val="1"/>
                <w:color w:val="000000"/>
                <w:sz w:val="20"/>
              </w:rPr>
            </w:pPr>
            <w:r>
              <w:rPr>
                <w:rFonts w:ascii="Courier New" w:hAnsi="Courier New"/>
                <w:b w:val="1"/>
                <w:color w:val="000000"/>
                <w:sz w:val="20"/>
              </w:rPr>
              <w:t>Проверка полноты</w:t>
            </w:r>
          </w:p>
        </w:tc>
        <w:tc>
          <w:tcPr>
            <w:tcW w:type="dxa" w:w="66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i w:val="1"/>
                <w:sz w:val="20"/>
              </w:rPr>
            </w:pPr>
            <w:r>
              <w:rPr>
                <w:rFonts w:ascii="Courier New" w:hAnsi="Courier New"/>
                <w:i w:val="1"/>
                <w:sz w:val="20"/>
              </w:rPr>
              <w:t>Оценка степени заполненности полей данными.</w:t>
            </w:r>
          </w:p>
          <w:p w14:paraId="2D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i w:val="1"/>
                <w:sz w:val="20"/>
              </w:rPr>
              <w:t>Поиск пропущенных (null, NaN) значений.</w:t>
            </w:r>
          </w:p>
        </w:tc>
      </w:tr>
      <w:tr>
        <w:trPr>
          <w:trHeight w:hRule="atLeast" w:val="360"/>
        </w:trPr>
        <w:tc>
          <w:tcPr>
            <w:tcW w:type="dxa" w:w="36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</w:tcPr>
          <w:p w14:paraId="2E000000">
            <w:pPr>
              <w:rPr>
                <w:rFonts w:ascii="Courier New" w:hAnsi="Courier New"/>
                <w:b w:val="1"/>
                <w:color w:val="000000"/>
                <w:sz w:val="20"/>
              </w:rPr>
            </w:pPr>
            <w:r>
              <w:rPr>
                <w:rStyle w:val="Style_3_ch"/>
                <w:rFonts w:ascii="Courier New" w:hAnsi="Courier New"/>
                <w:b w:val="1"/>
                <w:color w:val="000000"/>
                <w:sz w:val="20"/>
              </w:rPr>
              <w:t>Проверка уникальности</w:t>
            </w:r>
          </w:p>
        </w:tc>
        <w:tc>
          <w:tcPr>
            <w:tcW w:type="dxa" w:w="66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i w:val="1"/>
                <w:sz w:val="20"/>
              </w:rPr>
              <w:t>Отсутствуют повторяющиеся записи, каждый элемент набора данных является уникальным.</w:t>
            </w:r>
          </w:p>
          <w:p w14:paraId="30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i w:val="1"/>
                <w:sz w:val="20"/>
              </w:rPr>
              <w:t>Примеры:</w:t>
            </w:r>
          </w:p>
          <w:p w14:paraId="31000000">
            <w:pPr>
              <w:rPr>
                <w:rFonts w:ascii="Courier New" w:hAnsi="Courier New"/>
                <w:i w:val="1"/>
                <w:sz w:val="20"/>
              </w:rPr>
            </w:pPr>
            <w:r>
              <w:rPr>
                <w:rFonts w:ascii="Courier New" w:hAnsi="Courier New"/>
                <w:i w:val="1"/>
                <w:sz w:val="20"/>
              </w:rPr>
              <w:t>- Каждая запись в таблице должна иметь уникальный идентификатор (ID, UUID, GUID).</w:t>
            </w:r>
          </w:p>
          <w:p w14:paraId="32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i w:val="1"/>
                <w:sz w:val="20"/>
              </w:rPr>
              <w:t>- Электронные адреса пользователей неповторимы внутри системы.</w:t>
            </w:r>
          </w:p>
        </w:tc>
      </w:tr>
      <w:tr>
        <w:trPr>
          <w:trHeight w:hRule="atLeast" w:val="360"/>
        </w:trPr>
        <w:tc>
          <w:tcPr>
            <w:tcW w:type="dxa" w:w="36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rPr>
                <w:rFonts w:ascii="Courier New" w:hAnsi="Courier New"/>
                <w:b w:val="1"/>
                <w:color w:val="000000"/>
                <w:sz w:val="20"/>
              </w:rPr>
            </w:pPr>
            <w:r>
              <w:rPr>
                <w:rStyle w:val="Style_3_ch"/>
                <w:rFonts w:ascii="Courier New" w:hAnsi="Courier New"/>
                <w:b w:val="1"/>
                <w:color w:val="000000"/>
                <w:sz w:val="20"/>
              </w:rPr>
              <w:t>Проверка валидности</w:t>
            </w:r>
          </w:p>
        </w:tc>
        <w:tc>
          <w:tcPr>
            <w:tcW w:type="dxa" w:w="66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Валидность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—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это правильность и пригодность данных согласно установленным критериям и спецификациям, насколько правильно заполнены данные с точки зрения их формы и содержания, соответствующих требуемым параметрам.</w:t>
            </w:r>
          </w:p>
          <w:p w14:paraId="35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Примеры:</w:t>
            </w:r>
          </w:p>
          <w:p w14:paraId="36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- Проверка поля «Пол», должно содержать только два значения: мужчина, женщина.</w:t>
            </w:r>
          </w:p>
          <w:p w14:paraId="37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– Дата указана в правильном формате.</w:t>
            </w:r>
          </w:p>
          <w:p w14:paraId="38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– Категория продукта выбрана из фиксированного списка «электроника», «бытовая техника», «продукты питания»</w:t>
            </w:r>
          </w:p>
          <w:p w14:paraId="39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i w:val="1"/>
                <w:sz w:val="20"/>
              </w:rPr>
              <w:t>- Телефоны записаны в едином международном формате (например, +7 (XXX) XXX-XX-XX).</w:t>
            </w:r>
          </w:p>
        </w:tc>
      </w:tr>
      <w:tr>
        <w:trPr>
          <w:trHeight w:hRule="atLeast" w:val="360"/>
        </w:trPr>
        <w:tc>
          <w:tcPr>
            <w:tcW w:type="dxa" w:w="36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pPr>
              <w:rPr>
                <w:rFonts w:ascii="Courier New" w:hAnsi="Courier New"/>
                <w:b w:val="1"/>
                <w:color w:val="000000"/>
                <w:sz w:val="20"/>
              </w:rPr>
            </w:pPr>
            <w:r>
              <w:rPr>
                <w:rStyle w:val="Style_3_ch"/>
                <w:rFonts w:ascii="Courier New" w:hAnsi="Courier New"/>
                <w:b w:val="1"/>
                <w:color w:val="000000"/>
                <w:sz w:val="20"/>
              </w:rPr>
              <w:t>Проверка согласованности</w:t>
            </w:r>
          </w:p>
        </w:tc>
        <w:tc>
          <w:tcPr>
            <w:tcW w:type="dxa" w:w="66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1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Согласованность данных -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 соответствие данных установленным внутренним бизнес-правилам, стандартам и ограничениям системы.</w:t>
            </w:r>
          </w:p>
          <w:p w14:paraId="3C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1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Примеры:</w:t>
            </w:r>
          </w:p>
          <w:p w14:paraId="3D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i w:val="1"/>
                <w:sz w:val="20"/>
              </w:rPr>
            </w:pPr>
            <w:r>
              <w:rPr>
                <w:rFonts w:ascii="Courier New" w:hAnsi="Courier New"/>
                <w:i w:val="1"/>
                <w:sz w:val="20"/>
              </w:rPr>
              <w:t>- Телефоны записаны в едином международном формате (например, +7 (XXX) XXX-XX-XX), но код или номер не существует физически или некорректен.</w:t>
            </w:r>
          </w:p>
          <w:p w14:paraId="3E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i w:val="1"/>
                <w:sz w:val="20"/>
              </w:rPr>
              <w:t>- Стоимость продукта больше нуля.</w:t>
            </w:r>
          </w:p>
          <w:p w14:paraId="3F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i w:val="1"/>
                <w:sz w:val="20"/>
              </w:rPr>
            </w:pPr>
            <w:r>
              <w:rPr>
                <w:rFonts w:ascii="Courier New" w:hAnsi="Courier New"/>
                <w:i w:val="1"/>
                <w:sz w:val="20"/>
              </w:rPr>
              <w:t>– Доставка возможна только после оплаты.</w:t>
            </w:r>
          </w:p>
          <w:p w14:paraId="40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i w:val="1"/>
                <w:sz w:val="20"/>
              </w:rPr>
            </w:pPr>
            <w:r>
              <w:rPr>
                <w:rFonts w:ascii="Courier New" w:hAnsi="Courier New"/>
                <w:i w:val="1"/>
                <w:sz w:val="20"/>
              </w:rPr>
              <w:t>– Покупатель старше 18 лет, если речь идет о продаже алкоголя.</w:t>
            </w:r>
          </w:p>
        </w:tc>
      </w:tr>
      <w:tr>
        <w:trPr>
          <w:trHeight w:hRule="atLeast" w:val="360"/>
        </w:trPr>
        <w:tc>
          <w:tcPr>
            <w:tcW w:type="dxa" w:w="36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rPr>
                <w:rFonts w:ascii="Courier New" w:hAnsi="Courier New"/>
                <w:b w:val="1"/>
                <w:color w:val="000000"/>
                <w:sz w:val="20"/>
              </w:rPr>
            </w:pPr>
            <w:r>
              <w:rPr>
                <w:rFonts w:ascii="Courier New" w:hAnsi="Courier New"/>
                <w:b w:val="1"/>
                <w:color w:val="000000"/>
                <w:sz w:val="20"/>
              </w:rPr>
              <w:t>Проверка точности</w:t>
            </w:r>
          </w:p>
        </w:tc>
        <w:tc>
          <w:tcPr>
            <w:tcW w:type="dxa" w:w="66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 xml:space="preserve">Точность данных </w:t>
            </w:r>
            <w:r>
              <w:rPr>
                <w:rFonts w:ascii="Courier New" w:hAnsi="Courier New"/>
                <w:b w:val="1"/>
                <w:i w:val="1"/>
                <w:caps w:val="0"/>
                <w:color w:val="000000"/>
                <w:spacing w:val="-5"/>
                <w:sz w:val="20"/>
              </w:rPr>
              <w:t xml:space="preserve">– 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насколько верно данные отражают реальные значения. Примеры:</w:t>
            </w:r>
          </w:p>
          <w:p w14:paraId="43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- Если компания утверждает, что количество проданных товаров составляет 100 единиц, а фактически было продано именно столько — значит, данные точные, н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о если утверждается, что продано 100 штук, хотя реально было всего 80 — тогда данные неточные.</w:t>
            </w:r>
          </w:p>
          <w:p w14:paraId="44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Примеры:</w:t>
            </w:r>
          </w:p>
          <w:p w14:paraId="45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</w:pP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- Данные о температуре воздуха совпадают с показаниями реальных приборов измерения температуры.</w:t>
            </w:r>
          </w:p>
          <w:p w14:paraId="46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i w:val="1"/>
                <w:sz w:val="20"/>
              </w:rPr>
            </w:pPr>
            <w:r>
              <w:rPr>
                <w:rFonts w:ascii="Courier New" w:hAnsi="Courier New"/>
                <w:i w:val="1"/>
                <w:sz w:val="20"/>
              </w:rPr>
              <w:t>- Количество отгруженного товара совпадает с заказанным клиентом.</w:t>
            </w:r>
          </w:p>
          <w:p w14:paraId="47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i w:val="1"/>
                <w:sz w:val="20"/>
              </w:rPr>
            </w:pPr>
            <w:r>
              <w:rPr>
                <w:rFonts w:ascii="Courier New" w:hAnsi="Courier New"/>
                <w:i w:val="1"/>
                <w:sz w:val="20"/>
              </w:rPr>
              <w:t>- Информация о статусе заказа соответствует действительности.</w:t>
            </w:r>
          </w:p>
        </w:tc>
      </w:tr>
      <w:tr>
        <w:trPr>
          <w:trHeight w:hRule="atLeast" w:val="360"/>
        </w:trPr>
        <w:tc>
          <w:tcPr>
            <w:tcW w:type="dxa" w:w="10319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i w:val="1"/>
                <w:sz w:val="20"/>
              </w:rPr>
            </w:pPr>
            <w:r>
              <w:rPr>
                <w:rFonts w:ascii="Courier New" w:hAnsi="Courier New"/>
                <w:b w:val="1"/>
                <w:sz w:val="20"/>
              </w:rPr>
              <w:t>Резюме</w:t>
            </w:r>
            <w:r>
              <w:rPr>
                <w:rFonts w:ascii="Courier New" w:hAnsi="Courier New"/>
                <w:sz w:val="20"/>
              </w:rPr>
              <w:t xml:space="preserve">. </w:t>
            </w:r>
            <w:r>
              <w:rPr>
                <w:rFonts w:ascii="Courier New" w:hAnsi="Courier New"/>
                <w:i w:val="1"/>
                <w:sz w:val="20"/>
              </w:rPr>
              <w:t>Типы проверок данных:</w:t>
            </w:r>
          </w:p>
          <w:p w14:paraId="49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i w:val="1"/>
                <w:sz w:val="20"/>
              </w:rPr>
            </w:pPr>
            <w:r>
              <w:rPr>
                <w:rFonts w:ascii="Courier New" w:hAnsi="Courier New"/>
                <w:i w:val="1"/>
                <w:sz w:val="20"/>
              </w:rPr>
              <w:t>– Полнота. Наличие всех необходимых данных, без пропусков и пустых значений</w:t>
            </w:r>
          </w:p>
          <w:p w14:paraId="4A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i w:val="1"/>
                <w:sz w:val="20"/>
              </w:rPr>
            </w:pPr>
            <w:r>
              <w:rPr>
                <w:rFonts w:ascii="Courier New" w:hAnsi="Courier New"/>
                <w:i w:val="1"/>
                <w:sz w:val="20"/>
              </w:rPr>
              <w:t>– Уникальность.</w:t>
            </w:r>
            <w:r>
              <w:rPr>
                <w:rFonts w:ascii="Courier New" w:hAnsi="Courier New"/>
                <w:i w:val="1"/>
                <w:sz w:val="20"/>
              </w:rPr>
              <w:t xml:space="preserve"> Каждый элемент набора данных является уникальным.</w:t>
            </w:r>
            <w:r>
              <w:rPr>
                <w:rFonts w:ascii="Courier New" w:hAnsi="Courier New"/>
                <w:i w:val="1"/>
                <w:sz w:val="20"/>
              </w:rPr>
              <w:t xml:space="preserve"> </w:t>
            </w:r>
          </w:p>
          <w:p w14:paraId="4B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i w:val="1"/>
                <w:sz w:val="20"/>
              </w:rPr>
            </w:pPr>
            <w:r>
              <w:rPr>
                <w:rFonts w:ascii="Courier New" w:hAnsi="Courier New"/>
                <w:i w:val="1"/>
                <w:sz w:val="20"/>
              </w:rPr>
              <w:t>– Валидность. Д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анные соответствуют установленным критериям и спецификациям(правильная форма и формат).</w:t>
            </w:r>
          </w:p>
          <w:p w14:paraId="4C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i w:val="1"/>
                <w:sz w:val="20"/>
              </w:rPr>
            </w:pPr>
            <w:r>
              <w:rPr>
                <w:rFonts w:ascii="Courier New" w:hAnsi="Courier New"/>
                <w:i w:val="1"/>
                <w:sz w:val="20"/>
              </w:rPr>
              <w:t>- Согласованность.С</w:t>
            </w:r>
            <w:r>
              <w:rPr>
                <w:rFonts w:ascii="Courier New" w:hAnsi="Courier New"/>
                <w:b w:val="0"/>
                <w:i w:val="1"/>
                <w:caps w:val="0"/>
                <w:color w:val="000000"/>
                <w:spacing w:val="-5"/>
                <w:sz w:val="20"/>
              </w:rPr>
              <w:t>оответствие данных установленным внутренним бизнес-правилам, стандартам и ограничениям системы(логика и смысловая ценность данных).</w:t>
            </w:r>
          </w:p>
          <w:p w14:paraId="4D000000">
            <w:pPr>
              <w:pStyle w:val="Style_1"/>
              <w:widowControl w:val="1"/>
              <w:spacing w:after="0" w:before="0"/>
              <w:ind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i w:val="1"/>
                <w:sz w:val="20"/>
              </w:rPr>
              <w:t>– Точность. Данные отражают реальные события и факты.</w:t>
            </w:r>
          </w:p>
        </w:tc>
      </w:tr>
    </w:tbl>
    <w:p w14:paraId="4E000000">
      <w:pPr>
        <w:widowControl w:val="1"/>
        <w:spacing w:after="120" w:before="120"/>
        <w:ind w:firstLine="0" w:left="0" w:right="120"/>
        <w:rPr>
          <w:rFonts w:ascii="Courier New" w:hAnsi="Courier New"/>
          <w:b w:val="0"/>
          <w:color w:val="000000"/>
          <w:sz w:val="16"/>
        </w:rPr>
      </w:pPr>
    </w:p>
    <w:sectPr>
      <w:pgSz w:h="16848" w:orient="portrait" w:w="11908"/>
      <w:pgMar w:bottom="283" w:footer="708" w:gutter="0" w:header="708" w:left="283" w:right="283" w:top="283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</w:style>
  <w:style w:default="1" w:styleId="Style_3_ch" w:type="character">
    <w:name w:val="Normal"/>
    <w:link w:val="Style_3"/>
  </w:style>
  <w:style w:styleId="Style_4" w:type="paragraph">
    <w:name w:val="HTML Preformatted"/>
    <w:basedOn w:val="Style_3"/>
    <w:link w:val="Style_4_ch"/>
    <w:pPr>
      <w:widowControl w:val="1"/>
      <w:tabs>
        <w:tab w:leader="none" w:pos="916" w:val="left"/>
        <w:tab w:leader="none" w:pos="1832" w:val="left"/>
        <w:tab w:leader="none" w:pos="2748" w:val="left"/>
        <w:tab w:leader="none" w:pos="3664" w:val="left"/>
        <w:tab w:leader="none" w:pos="4580" w:val="left"/>
        <w:tab w:leader="none" w:pos="5496" w:val="left"/>
        <w:tab w:leader="none" w:pos="6412" w:val="left"/>
        <w:tab w:leader="none" w:pos="7328" w:val="left"/>
        <w:tab w:leader="none" w:pos="8244" w:val="left"/>
        <w:tab w:leader="none" w:pos="9160" w:val="left"/>
        <w:tab w:leader="none" w:pos="10076" w:val="left"/>
        <w:tab w:leader="none" w:pos="10992" w:val="left"/>
        <w:tab w:leader="none" w:pos="11908" w:val="left"/>
        <w:tab w:leader="none" w:pos="12824" w:val="left"/>
        <w:tab w:leader="none" w:pos="13740" w:val="left"/>
        <w:tab w:leader="none" w:pos="14656" w:val="left"/>
      </w:tabs>
      <w:ind/>
    </w:pPr>
    <w:rPr>
      <w:rFonts w:ascii="Courier New" w:hAnsi="Courier New"/>
      <w:sz w:val="20"/>
    </w:rPr>
  </w:style>
  <w:style w:styleId="Style_4_ch" w:type="character">
    <w:name w:val="HTML Preformatted"/>
    <w:basedOn w:val="Style_3_ch"/>
    <w:link w:val="Style_4"/>
    <w:rPr>
      <w:rFonts w:ascii="Courier New" w:hAnsi="Courier New"/>
      <w:sz w:val="20"/>
    </w:rPr>
  </w:style>
  <w:style w:styleId="Style_5" w:type="paragraph">
    <w:name w:val="Strong"/>
    <w:basedOn w:val="Style_6"/>
    <w:link w:val="Style_5_ch"/>
    <w:rPr>
      <w:b w:val="1"/>
    </w:rPr>
  </w:style>
  <w:style w:styleId="Style_5_ch" w:type="character">
    <w:name w:val="Strong"/>
    <w:basedOn w:val="Style_6_ch"/>
    <w:link w:val="Style_5"/>
    <w:rPr>
      <w:b w:val="1"/>
    </w:rPr>
  </w:style>
  <w:style w:styleId="Style_7" w:type="paragraph">
    <w:name w:val="toc 2"/>
    <w:next w:val="Style_3"/>
    <w:link w:val="Style_7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3"/>
    <w:link w:val="Style_8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3"/>
    <w:link w:val="Style_9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3"/>
    <w:link w:val="Style_10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List Paragraph"/>
    <w:basedOn w:val="Style_3"/>
    <w:link w:val="Style_11_ch"/>
    <w:pPr>
      <w:widowControl w:val="1"/>
      <w:ind w:left="720"/>
      <w:contextualSpacing w:val="1"/>
    </w:pPr>
  </w:style>
  <w:style w:styleId="Style_11_ch" w:type="character">
    <w:name w:val="List Paragraph"/>
    <w:basedOn w:val="Style_3_ch"/>
    <w:link w:val="Style_11"/>
  </w:style>
  <w:style w:styleId="Style_12" w:type="paragraph">
    <w:name w:val="Endnote"/>
    <w:link w:val="Style_1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next w:val="Style_3"/>
    <w:link w:val="Style_13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3_ch" w:type="character">
    <w:name w:val="heading 3"/>
    <w:link w:val="Style_13"/>
    <w:rPr>
      <w:rFonts w:ascii="XO Thames" w:hAnsi="XO Thames"/>
      <w:b w:val="1"/>
      <w:sz w:val="26"/>
    </w:rPr>
  </w:style>
  <w:style w:styleId="Style_14" w:type="paragraph">
    <w:name w:val="hljs-attribute"/>
    <w:basedOn w:val="Style_6"/>
    <w:link w:val="Style_14_ch"/>
  </w:style>
  <w:style w:styleId="Style_14_ch" w:type="character">
    <w:name w:val="hljs-attribute"/>
    <w:basedOn w:val="Style_6_ch"/>
    <w:link w:val="Style_14"/>
  </w:style>
  <w:style w:styleId="Style_15" w:type="paragraph">
    <w:name w:val="Normal (Web)"/>
    <w:basedOn w:val="Style_3"/>
    <w:link w:val="Style_15_ch"/>
    <w:pPr>
      <w:widowControl w:val="1"/>
      <w:spacing w:afterAutospacing="on" w:beforeAutospacing="on"/>
      <w:ind/>
    </w:pPr>
    <w:rPr>
      <w:rFonts w:ascii="Times New Roman" w:hAnsi="Times New Roman"/>
      <w:sz w:val="24"/>
    </w:rPr>
  </w:style>
  <w:style w:styleId="Style_15_ch" w:type="character">
    <w:name w:val="Normal (Web)"/>
    <w:basedOn w:val="Style_3_ch"/>
    <w:link w:val="Style_15"/>
    <w:rPr>
      <w:rFonts w:ascii="Times New Roman" w:hAnsi="Times New Roman"/>
      <w:sz w:val="24"/>
    </w:rPr>
  </w:style>
  <w:style w:styleId="Style_16" w:type="paragraph">
    <w:name w:val="hljs-string"/>
    <w:basedOn w:val="Style_6"/>
    <w:link w:val="Style_16_ch"/>
  </w:style>
  <w:style w:styleId="Style_16_ch" w:type="character">
    <w:name w:val="hljs-string"/>
    <w:basedOn w:val="Style_6_ch"/>
    <w:link w:val="Style_16"/>
  </w:style>
  <w:style w:styleId="Style_6" w:type="paragraph">
    <w:name w:val="Default Paragraph Font"/>
    <w:link w:val="Style_6_ch"/>
  </w:style>
  <w:style w:styleId="Style_6_ch" w:type="character">
    <w:name w:val="Default Paragraph Font"/>
    <w:link w:val="Style_6"/>
  </w:style>
  <w:style w:styleId="Style_17" w:type="paragraph">
    <w:name w:val="toc 3"/>
    <w:next w:val="Style_3"/>
    <w:link w:val="Style_17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17_ch" w:type="character">
    <w:name w:val="toc 3"/>
    <w:link w:val="Style_17"/>
    <w:rPr>
      <w:rFonts w:ascii="XO Thames" w:hAnsi="XO Thames"/>
      <w:sz w:val="28"/>
    </w:rPr>
  </w:style>
  <w:style w:styleId="Style_18" w:type="paragraph">
    <w:name w:val="hljs-operator"/>
    <w:basedOn w:val="Style_6"/>
    <w:link w:val="Style_18_ch"/>
  </w:style>
  <w:style w:styleId="Style_18_ch" w:type="character">
    <w:name w:val="hljs-operator"/>
    <w:basedOn w:val="Style_6_ch"/>
    <w:link w:val="Style_18"/>
  </w:style>
  <w:style w:styleId="Style_19" w:type="paragraph">
    <w:name w:val="hljs-selector-attr"/>
    <w:basedOn w:val="Style_6"/>
    <w:link w:val="Style_19_ch"/>
  </w:style>
  <w:style w:styleId="Style_19_ch" w:type="character">
    <w:name w:val="hljs-selector-attr"/>
    <w:basedOn w:val="Style_6_ch"/>
    <w:link w:val="Style_19"/>
  </w:style>
  <w:style w:styleId="Style_20" w:type="paragraph">
    <w:name w:val="heading 5"/>
    <w:next w:val="Style_3"/>
    <w:link w:val="Style_20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0_ch" w:type="character">
    <w:name w:val="heading 5"/>
    <w:link w:val="Style_20"/>
    <w:rPr>
      <w:rFonts w:ascii="XO Thames" w:hAnsi="XO Thames"/>
      <w:b w:val="1"/>
      <w:sz w:val="22"/>
    </w:rPr>
  </w:style>
  <w:style w:styleId="Style_21" w:type="paragraph">
    <w:name w:val="heading 1"/>
    <w:basedOn w:val="Style_3"/>
    <w:next w:val="Style_3"/>
    <w:link w:val="Style_21_ch"/>
    <w:uiPriority w:val="9"/>
    <w:qFormat/>
    <w:pPr>
      <w:keepNext w:val="1"/>
      <w:keepLines w:val="1"/>
      <w:widowControl w:val="1"/>
      <w:spacing w:before="240"/>
      <w:ind/>
      <w:outlineLvl w:val="0"/>
    </w:pPr>
    <w:rPr>
      <w:rFonts w:asciiTheme="majorAscii" w:hAnsiTheme="majorHAnsi"/>
      <w:color w:themeColor="accent1" w:themeShade="BF" w:val="2E75B5"/>
      <w:sz w:val="32"/>
    </w:rPr>
  </w:style>
  <w:style w:styleId="Style_21_ch" w:type="character">
    <w:name w:val="heading 1"/>
    <w:basedOn w:val="Style_3_ch"/>
    <w:link w:val="Style_21"/>
    <w:rPr>
      <w:rFonts w:asciiTheme="majorAscii" w:hAnsiTheme="majorHAnsi"/>
      <w:color w:themeColor="accent1" w:themeShade="BF" w:val="2E75B5"/>
      <w:sz w:val="32"/>
    </w:rPr>
  </w:style>
  <w:style w:styleId="Style_2" w:type="paragraph">
    <w:name w:val="Hyperlink"/>
    <w:link w:val="Style_2_ch"/>
    <w:rPr>
      <w:color w:val="0000FF"/>
      <w:u w:val="single"/>
    </w:rPr>
  </w:style>
  <w:style w:styleId="Style_2_ch" w:type="character">
    <w:name w:val="Hyperlink"/>
    <w:link w:val="Style_2"/>
    <w:rPr>
      <w:color w:val="0000FF"/>
      <w:u w:val="single"/>
    </w:rPr>
  </w:style>
  <w:style w:styleId="Style_22" w:type="paragraph">
    <w:name w:val="Footnote"/>
    <w:link w:val="Style_2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22_ch" w:type="character">
    <w:name w:val="Footnote"/>
    <w:link w:val="Style_22"/>
    <w:rPr>
      <w:rFonts w:ascii="XO Thames" w:hAnsi="XO Thames"/>
      <w:sz w:val="22"/>
    </w:rPr>
  </w:style>
  <w:style w:styleId="Style_23" w:type="paragraph">
    <w:name w:val="toc 1"/>
    <w:next w:val="Style_3"/>
    <w:link w:val="Style_23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23_ch" w:type="character">
    <w:name w:val="toc 1"/>
    <w:link w:val="Style_23"/>
    <w:rPr>
      <w:rFonts w:ascii="XO Thames" w:hAnsi="XO Thames"/>
      <w:b w:val="1"/>
      <w:sz w:val="28"/>
    </w:rPr>
  </w:style>
  <w:style w:styleId="Style_24" w:type="paragraph">
    <w:name w:val="Header and Footer"/>
    <w:link w:val="Style_2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24_ch" w:type="character">
    <w:name w:val="Header and Footer"/>
    <w:link w:val="Style_24"/>
    <w:rPr>
      <w:rFonts w:ascii="XO Thames" w:hAnsi="XO Thames"/>
      <w:sz w:val="28"/>
    </w:rPr>
  </w:style>
  <w:style w:styleId="Style_25" w:type="paragraph">
    <w:name w:val="hljs-number"/>
    <w:basedOn w:val="Style_6"/>
    <w:link w:val="Style_25_ch"/>
  </w:style>
  <w:style w:styleId="Style_25_ch" w:type="character">
    <w:name w:val="hljs-number"/>
    <w:basedOn w:val="Style_6_ch"/>
    <w:link w:val="Style_25"/>
  </w:style>
  <w:style w:styleId="Style_26" w:type="paragraph">
    <w:name w:val="toc 9"/>
    <w:next w:val="Style_3"/>
    <w:link w:val="Style_26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26_ch" w:type="character">
    <w:name w:val="toc 9"/>
    <w:link w:val="Style_26"/>
    <w:rPr>
      <w:rFonts w:ascii="XO Thames" w:hAnsi="XO Thames"/>
      <w:sz w:val="28"/>
    </w:rPr>
  </w:style>
  <w:style w:styleId="Style_27" w:type="paragraph">
    <w:name w:val="hljs-comment"/>
    <w:basedOn w:val="Style_6"/>
    <w:link w:val="Style_27_ch"/>
  </w:style>
  <w:style w:styleId="Style_27_ch" w:type="character">
    <w:name w:val="hljs-comment"/>
    <w:basedOn w:val="Style_6_ch"/>
    <w:link w:val="Style_27"/>
  </w:style>
  <w:style w:styleId="Style_28" w:type="paragraph">
    <w:name w:val="HTML Code"/>
    <w:basedOn w:val="Style_6"/>
    <w:link w:val="Style_28_ch"/>
    <w:rPr>
      <w:rFonts w:ascii="Courier New" w:hAnsi="Courier New"/>
      <w:sz w:val="20"/>
    </w:rPr>
  </w:style>
  <w:style w:styleId="Style_28_ch" w:type="character">
    <w:name w:val="HTML Code"/>
    <w:basedOn w:val="Style_6_ch"/>
    <w:link w:val="Style_28"/>
    <w:rPr>
      <w:rFonts w:ascii="Courier New" w:hAnsi="Courier New"/>
      <w:sz w:val="20"/>
    </w:rPr>
  </w:style>
  <w:style w:styleId="Style_29" w:type="paragraph">
    <w:name w:val="toc 8"/>
    <w:next w:val="Style_3"/>
    <w:link w:val="Style_29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29_ch" w:type="character">
    <w:name w:val="toc 8"/>
    <w:link w:val="Style_29"/>
    <w:rPr>
      <w:rFonts w:ascii="XO Thames" w:hAnsi="XO Thames"/>
      <w:sz w:val="28"/>
    </w:rPr>
  </w:style>
  <w:style w:styleId="Style_30" w:type="paragraph">
    <w:name w:val="hljs-selector-class"/>
    <w:basedOn w:val="Style_6"/>
    <w:link w:val="Style_30_ch"/>
  </w:style>
  <w:style w:styleId="Style_30_ch" w:type="character">
    <w:name w:val="hljs-selector-class"/>
    <w:basedOn w:val="Style_6_ch"/>
    <w:link w:val="Style_30"/>
  </w:style>
  <w:style w:styleId="Style_31" w:type="paragraph">
    <w:name w:val="toc 5"/>
    <w:next w:val="Style_3"/>
    <w:link w:val="Style_31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31_ch" w:type="character">
    <w:name w:val="toc 5"/>
    <w:link w:val="Style_31"/>
    <w:rPr>
      <w:rFonts w:ascii="XO Thames" w:hAnsi="XO Thames"/>
      <w:sz w:val="28"/>
    </w:rPr>
  </w:style>
  <w:style w:styleId="Style_32" w:type="paragraph">
    <w:name w:val="hljs-literal"/>
    <w:basedOn w:val="Style_6"/>
    <w:link w:val="Style_32_ch"/>
  </w:style>
  <w:style w:styleId="Style_32_ch" w:type="character">
    <w:name w:val="hljs-literal"/>
    <w:basedOn w:val="Style_6_ch"/>
    <w:link w:val="Style_32"/>
  </w:style>
  <w:style w:styleId="Style_33" w:type="paragraph">
    <w:name w:val="hljs-selector-tag"/>
    <w:basedOn w:val="Style_6"/>
    <w:link w:val="Style_33_ch"/>
  </w:style>
  <w:style w:styleId="Style_33_ch" w:type="character">
    <w:name w:val="hljs-selector-tag"/>
    <w:basedOn w:val="Style_6_ch"/>
    <w:link w:val="Style_33"/>
  </w:style>
  <w:style w:styleId="Style_34" w:type="paragraph">
    <w:name w:val="Emphasis"/>
    <w:basedOn w:val="Style_6"/>
    <w:link w:val="Style_34_ch"/>
    <w:rPr>
      <w:i w:val="1"/>
    </w:rPr>
  </w:style>
  <w:style w:styleId="Style_34_ch" w:type="character">
    <w:name w:val="Emphasis"/>
    <w:basedOn w:val="Style_6_ch"/>
    <w:link w:val="Style_34"/>
    <w:rPr>
      <w:i w:val="1"/>
    </w:rPr>
  </w:style>
  <w:style w:styleId="Style_35" w:type="paragraph">
    <w:name w:val="Subtitle"/>
    <w:next w:val="Style_3"/>
    <w:link w:val="Style_35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35_ch" w:type="character">
    <w:name w:val="Subtitle"/>
    <w:link w:val="Style_35"/>
    <w:rPr>
      <w:rFonts w:ascii="XO Thames" w:hAnsi="XO Thames"/>
      <w:i w:val="1"/>
      <w:sz w:val="24"/>
    </w:rPr>
  </w:style>
  <w:style w:styleId="Style_36" w:type="paragraph">
    <w:name w:val="Title"/>
    <w:next w:val="Style_3"/>
    <w:link w:val="Style_36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36_ch" w:type="character">
    <w:name w:val="Title"/>
    <w:link w:val="Style_36"/>
    <w:rPr>
      <w:rFonts w:ascii="XO Thames" w:hAnsi="XO Thames"/>
      <w:b w:val="1"/>
      <w:caps w:val="1"/>
      <w:sz w:val="40"/>
    </w:rPr>
  </w:style>
  <w:style w:styleId="Style_37" w:type="paragraph">
    <w:name w:val="hljs-built_in"/>
    <w:basedOn w:val="Style_6"/>
    <w:link w:val="Style_37_ch"/>
  </w:style>
  <w:style w:styleId="Style_37_ch" w:type="character">
    <w:name w:val="hljs-built_in"/>
    <w:basedOn w:val="Style_6_ch"/>
    <w:link w:val="Style_37"/>
  </w:style>
  <w:style w:styleId="Style_38" w:type="paragraph">
    <w:name w:val="heading 4"/>
    <w:next w:val="Style_3"/>
    <w:link w:val="Style_38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38_ch" w:type="character">
    <w:name w:val="heading 4"/>
    <w:link w:val="Style_38"/>
    <w:rPr>
      <w:rFonts w:ascii="XO Thames" w:hAnsi="XO Thames"/>
      <w:b w:val="1"/>
      <w:sz w:val="24"/>
    </w:rPr>
  </w:style>
  <w:style w:styleId="Style_1" w:type="paragraph">
    <w:name w:val="hljs-keyword"/>
    <w:basedOn w:val="Style_6"/>
    <w:link w:val="Style_1_ch"/>
  </w:style>
  <w:style w:styleId="Style_1_ch" w:type="character">
    <w:name w:val="hljs-keyword"/>
    <w:basedOn w:val="Style_6_ch"/>
    <w:link w:val="Style_1"/>
  </w:style>
  <w:style w:styleId="Style_39" w:type="paragraph">
    <w:name w:val="heading 2"/>
    <w:basedOn w:val="Style_3"/>
    <w:link w:val="Style_39_ch"/>
    <w:uiPriority w:val="9"/>
    <w:qFormat/>
    <w:pPr>
      <w:widowControl w:val="1"/>
      <w:spacing w:afterAutospacing="on" w:beforeAutospacing="on"/>
      <w:ind/>
      <w:outlineLvl w:val="1"/>
    </w:pPr>
    <w:rPr>
      <w:rFonts w:ascii="Times New Roman" w:hAnsi="Times New Roman"/>
      <w:b w:val="1"/>
      <w:sz w:val="36"/>
    </w:rPr>
  </w:style>
  <w:style w:styleId="Style_39_ch" w:type="character">
    <w:name w:val="heading 2"/>
    <w:basedOn w:val="Style_3_ch"/>
    <w:link w:val="Style_39"/>
    <w:rPr>
      <w:rFonts w:ascii="Times New Roman" w:hAnsi="Times New Roman"/>
      <w:b w:val="1"/>
      <w:sz w:val="36"/>
    </w:rPr>
  </w:style>
  <w:style w:styleId="Style_40" w:type="table">
    <w:name w:val="Table Grid"/>
    <w:basedOn w:val="Style_41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41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2025-11-25T17:06:38Z</dcterms:created>
  <dcterms:modified xsi:type="dcterms:W3CDTF">2025-12-01T18:17:56Z</dcterms:modified>
</cp:coreProperties>
</file>