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D70C37" w14:textId="77777777" w:rsidR="00F770E7" w:rsidRDefault="00000000">
      <w:pPr>
        <w:pStyle w:val="Heading1"/>
        <w:spacing w:before="39"/>
      </w:pPr>
      <w:r>
        <w:rPr>
          <w:spacing w:val="-2"/>
        </w:rPr>
        <w:t>Summary</w:t>
      </w:r>
    </w:p>
    <w:p w14:paraId="71D70C38" w14:textId="77777777" w:rsidR="00F770E7" w:rsidRDefault="00000000">
      <w:pPr>
        <w:pStyle w:val="BodyText"/>
        <w:spacing w:before="181" w:line="259" w:lineRule="auto"/>
        <w:ind w:left="100" w:firstLine="0"/>
      </w:pPr>
      <w:r>
        <w:t>This manuscript reports on numerical calculations of fast ion confinement and consequent peak wall heat</w:t>
      </w:r>
      <w:r>
        <w:rPr>
          <w:spacing w:val="-2"/>
        </w:rPr>
        <w:t xml:space="preserve"> </w:t>
      </w:r>
      <w:r>
        <w:t>fluxes</w:t>
      </w:r>
      <w:r>
        <w:rPr>
          <w:spacing w:val="-2"/>
        </w:rPr>
        <w:t xml:space="preserve"> </w:t>
      </w:r>
      <w:r>
        <w:t>for</w:t>
      </w:r>
      <w:r>
        <w:rPr>
          <w:spacing w:val="-2"/>
        </w:rPr>
        <w:t xml:space="preserve"> </w:t>
      </w:r>
      <w:r>
        <w:t>a</w:t>
      </w:r>
      <w:r>
        <w:rPr>
          <w:spacing w:val="-2"/>
        </w:rPr>
        <w:t xml:space="preserve"> </w:t>
      </w:r>
      <w:r>
        <w:t>specific</w:t>
      </w:r>
      <w:r>
        <w:rPr>
          <w:spacing w:val="-2"/>
        </w:rPr>
        <w:t xml:space="preserve"> </w:t>
      </w:r>
      <w:r>
        <w:t>flat</w:t>
      </w:r>
      <w:r>
        <w:rPr>
          <w:spacing w:val="-2"/>
        </w:rPr>
        <w:t xml:space="preserve"> </w:t>
      </w:r>
      <w:r>
        <w:t>top</w:t>
      </w:r>
      <w:r>
        <w:rPr>
          <w:spacing w:val="-3"/>
        </w:rPr>
        <w:t xml:space="preserve"> </w:t>
      </w:r>
      <w:r>
        <w:t>plasma</w:t>
      </w:r>
      <w:r>
        <w:rPr>
          <w:spacing w:val="-2"/>
        </w:rPr>
        <w:t xml:space="preserve"> </w:t>
      </w:r>
      <w:r>
        <w:t>scenario</w:t>
      </w:r>
      <w:r>
        <w:rPr>
          <w:spacing w:val="-1"/>
        </w:rPr>
        <w:t xml:space="preserve"> </w:t>
      </w:r>
      <w:r>
        <w:t>in</w:t>
      </w:r>
      <w:r>
        <w:rPr>
          <w:spacing w:val="-5"/>
        </w:rPr>
        <w:t xml:space="preserve"> </w:t>
      </w:r>
      <w:r>
        <w:t>the</w:t>
      </w:r>
      <w:r>
        <w:rPr>
          <w:spacing w:val="-1"/>
        </w:rPr>
        <w:t xml:space="preserve"> </w:t>
      </w:r>
      <w:r>
        <w:t>planned</w:t>
      </w:r>
      <w:r>
        <w:rPr>
          <w:spacing w:val="-2"/>
        </w:rPr>
        <w:t xml:space="preserve"> </w:t>
      </w:r>
      <w:r>
        <w:t>STEP device.</w:t>
      </w:r>
      <w:r>
        <w:rPr>
          <w:spacing w:val="-5"/>
        </w:rPr>
        <w:t xml:space="preserve"> </w:t>
      </w:r>
      <w:r>
        <w:t>The</w:t>
      </w:r>
      <w:r>
        <w:rPr>
          <w:spacing w:val="-4"/>
        </w:rPr>
        <w:t xml:space="preserve"> </w:t>
      </w:r>
      <w:r>
        <w:t>main</w:t>
      </w:r>
      <w:r>
        <w:rPr>
          <w:spacing w:val="-4"/>
        </w:rPr>
        <w:t xml:space="preserve"> </w:t>
      </w:r>
      <w:r>
        <w:t>loss</w:t>
      </w:r>
      <w:r>
        <w:rPr>
          <w:spacing w:val="-4"/>
        </w:rPr>
        <w:t xml:space="preserve"> </w:t>
      </w:r>
      <w:r>
        <w:t>mechanisms investigated were toroidal field ripple, resonant magnetic perturbations for ELM control, resistive wall modes, and toroidal Alfven eigenmodes. In each case, a fixed equilibrium and set of plasma profiles were assumed, and a 1D scan was performed on some quantity relevant to the loss mechanism. The authors conclude that in realistic operating conditions, the heat fluxes are at an acceptable level.</w:t>
      </w:r>
    </w:p>
    <w:p w14:paraId="71D70C39" w14:textId="77777777" w:rsidR="00F770E7" w:rsidRDefault="00000000">
      <w:pPr>
        <w:pStyle w:val="BodyText"/>
        <w:spacing w:before="160" w:line="259" w:lineRule="auto"/>
        <w:ind w:left="100" w:right="144" w:firstLine="0"/>
      </w:pPr>
      <w:r>
        <w:t xml:space="preserve">Overall, there are useful quantitative results that can serve as baseline estimates for the anticipated heat fluxes due to fast ion losses. </w:t>
      </w:r>
      <w:commentRangeStart w:id="0"/>
      <w:commentRangeStart w:id="1"/>
      <w:r>
        <w:t>However, the generality of the conclusions is limited by the apparent lack</w:t>
      </w:r>
      <w:r>
        <w:rPr>
          <w:spacing w:val="-4"/>
        </w:rPr>
        <w:t xml:space="preserve"> </w:t>
      </w:r>
      <w:r>
        <w:t>of</w:t>
      </w:r>
      <w:r>
        <w:rPr>
          <w:spacing w:val="-2"/>
        </w:rPr>
        <w:t xml:space="preserve"> </w:t>
      </w:r>
      <w:r>
        <w:t>varying</w:t>
      </w:r>
      <w:r>
        <w:rPr>
          <w:spacing w:val="-3"/>
        </w:rPr>
        <w:t xml:space="preserve"> </w:t>
      </w:r>
      <w:r>
        <w:t>the</w:t>
      </w:r>
      <w:r>
        <w:rPr>
          <w:spacing w:val="-1"/>
        </w:rPr>
        <w:t xml:space="preserve"> </w:t>
      </w:r>
      <w:r>
        <w:t>equilibrium</w:t>
      </w:r>
      <w:r>
        <w:rPr>
          <w:spacing w:val="-3"/>
        </w:rPr>
        <w:t xml:space="preserve"> </w:t>
      </w:r>
      <w:r>
        <w:t>or</w:t>
      </w:r>
      <w:r>
        <w:rPr>
          <w:spacing w:val="-2"/>
        </w:rPr>
        <w:t xml:space="preserve"> </w:t>
      </w:r>
      <w:r>
        <w:t>plasma</w:t>
      </w:r>
      <w:r>
        <w:rPr>
          <w:spacing w:val="-2"/>
        </w:rPr>
        <w:t xml:space="preserve"> </w:t>
      </w:r>
      <w:r>
        <w:t>scenario,</w:t>
      </w:r>
      <w:r>
        <w:rPr>
          <w:spacing w:val="-5"/>
        </w:rPr>
        <w:t xml:space="preserve"> </w:t>
      </w:r>
      <w:r>
        <w:t>which could</w:t>
      </w:r>
      <w:r>
        <w:rPr>
          <w:spacing w:val="-4"/>
        </w:rPr>
        <w:t xml:space="preserve"> </w:t>
      </w:r>
      <w:r>
        <w:t>have</w:t>
      </w:r>
      <w:r>
        <w:rPr>
          <w:spacing w:val="-2"/>
        </w:rPr>
        <w:t xml:space="preserve"> </w:t>
      </w:r>
      <w:r>
        <w:t>a</w:t>
      </w:r>
      <w:r>
        <w:rPr>
          <w:spacing w:val="-4"/>
        </w:rPr>
        <w:t xml:space="preserve"> </w:t>
      </w:r>
      <w:r>
        <w:t>substantial</w:t>
      </w:r>
      <w:r>
        <w:rPr>
          <w:spacing w:val="-6"/>
        </w:rPr>
        <w:t xml:space="preserve"> </w:t>
      </w:r>
      <w:r>
        <w:t>effect</w:t>
      </w:r>
      <w:r>
        <w:rPr>
          <w:spacing w:val="-4"/>
        </w:rPr>
        <w:t xml:space="preserve"> </w:t>
      </w:r>
      <w:r>
        <w:t>on</w:t>
      </w:r>
      <w:r>
        <w:rPr>
          <w:spacing w:val="-2"/>
        </w:rPr>
        <w:t xml:space="preserve"> </w:t>
      </w:r>
      <w:r>
        <w:t>the</w:t>
      </w:r>
      <w:r>
        <w:rPr>
          <w:spacing w:val="-2"/>
        </w:rPr>
        <w:t xml:space="preserve"> </w:t>
      </w:r>
      <w:r>
        <w:t>resulting calculations.</w:t>
      </w:r>
      <w:commentRangeEnd w:id="0"/>
      <w:r w:rsidR="008B70A8">
        <w:rPr>
          <w:rStyle w:val="CommentReference"/>
        </w:rPr>
        <w:commentReference w:id="0"/>
      </w:r>
      <w:commentRangeEnd w:id="1"/>
      <w:r w:rsidR="009B357B">
        <w:rPr>
          <w:rStyle w:val="CommentReference"/>
        </w:rPr>
        <w:commentReference w:id="1"/>
      </w:r>
      <w:r>
        <w:t xml:space="preserve"> Throughout the manuscript, </w:t>
      </w:r>
      <w:commentRangeStart w:id="2"/>
      <w:r>
        <w:t xml:space="preserve">some descriptions of the methods and codes </w:t>
      </w:r>
      <w:commentRangeEnd w:id="2"/>
      <w:r w:rsidR="007507AC">
        <w:rPr>
          <w:rStyle w:val="CommentReference"/>
        </w:rPr>
        <w:commentReference w:id="2"/>
      </w:r>
      <w:r>
        <w:t>are overly brief, as detailed below. Aside from this, the language is clear throughout, and the manuscript is organized in a logical fashion.</w:t>
      </w:r>
    </w:p>
    <w:p w14:paraId="71D70C3A" w14:textId="77777777" w:rsidR="00F770E7" w:rsidRDefault="00000000">
      <w:pPr>
        <w:pStyle w:val="BodyText"/>
        <w:spacing w:before="159" w:line="259" w:lineRule="auto"/>
        <w:ind w:left="100" w:firstLine="0"/>
      </w:pPr>
      <w:r>
        <w:t>I</w:t>
      </w:r>
      <w:r>
        <w:rPr>
          <w:spacing w:val="-2"/>
        </w:rPr>
        <w:t xml:space="preserve"> </w:t>
      </w:r>
      <w:r>
        <w:t>would</w:t>
      </w:r>
      <w:r>
        <w:rPr>
          <w:spacing w:val="-4"/>
        </w:rPr>
        <w:t xml:space="preserve"> </w:t>
      </w:r>
      <w:r>
        <w:t>like</w:t>
      </w:r>
      <w:r>
        <w:rPr>
          <w:spacing w:val="-2"/>
        </w:rPr>
        <w:t xml:space="preserve"> </w:t>
      </w:r>
      <w:r>
        <w:t>to</w:t>
      </w:r>
      <w:r>
        <w:rPr>
          <w:spacing w:val="-1"/>
        </w:rPr>
        <w:t xml:space="preserve"> </w:t>
      </w:r>
      <w:r>
        <w:t>see</w:t>
      </w:r>
      <w:r>
        <w:rPr>
          <w:spacing w:val="-4"/>
        </w:rPr>
        <w:t xml:space="preserve"> </w:t>
      </w:r>
      <w:r>
        <w:t>the</w:t>
      </w:r>
      <w:r>
        <w:rPr>
          <w:spacing w:val="-2"/>
        </w:rPr>
        <w:t xml:space="preserve"> </w:t>
      </w:r>
      <w:r>
        <w:t>following</w:t>
      </w:r>
      <w:r>
        <w:rPr>
          <w:spacing w:val="-4"/>
        </w:rPr>
        <w:t xml:space="preserve"> </w:t>
      </w:r>
      <w:r>
        <w:t>comments</w:t>
      </w:r>
      <w:r>
        <w:rPr>
          <w:spacing w:val="-5"/>
        </w:rPr>
        <w:t xml:space="preserve"> </w:t>
      </w:r>
      <w:r>
        <w:t>addressed</w:t>
      </w:r>
      <w:r>
        <w:rPr>
          <w:spacing w:val="-5"/>
        </w:rPr>
        <w:t xml:space="preserve"> </w:t>
      </w:r>
      <w:r>
        <w:t>before</w:t>
      </w:r>
      <w:r>
        <w:rPr>
          <w:spacing w:val="-4"/>
        </w:rPr>
        <w:t xml:space="preserve"> </w:t>
      </w:r>
      <w:r>
        <w:t>this</w:t>
      </w:r>
      <w:r>
        <w:rPr>
          <w:spacing w:val="-5"/>
        </w:rPr>
        <w:t xml:space="preserve"> </w:t>
      </w:r>
      <w:r>
        <w:t>manuscript</w:t>
      </w:r>
      <w:r>
        <w:rPr>
          <w:spacing w:val="-2"/>
        </w:rPr>
        <w:t xml:space="preserve"> </w:t>
      </w:r>
      <w:r>
        <w:t>is</w:t>
      </w:r>
      <w:r>
        <w:rPr>
          <w:spacing w:val="-2"/>
        </w:rPr>
        <w:t xml:space="preserve"> </w:t>
      </w:r>
      <w:r>
        <w:t>considered</w:t>
      </w:r>
      <w:r>
        <w:rPr>
          <w:spacing w:val="-2"/>
        </w:rPr>
        <w:t xml:space="preserve"> </w:t>
      </w:r>
      <w:r>
        <w:t>for publication in Nuclear Fusion.</w:t>
      </w:r>
    </w:p>
    <w:p w14:paraId="71D70C3B" w14:textId="77777777" w:rsidR="00F770E7" w:rsidRDefault="00000000">
      <w:pPr>
        <w:pStyle w:val="Heading1"/>
        <w:spacing w:before="159"/>
      </w:pPr>
      <w:r>
        <w:t>Major</w:t>
      </w:r>
      <w:r>
        <w:rPr>
          <w:spacing w:val="-4"/>
        </w:rPr>
        <w:t xml:space="preserve"> </w:t>
      </w:r>
      <w:r>
        <w:t>comments</w:t>
      </w:r>
      <w:r>
        <w:rPr>
          <w:spacing w:val="-6"/>
        </w:rPr>
        <w:t xml:space="preserve"> </w:t>
      </w:r>
      <w:r>
        <w:t>(roughly</w:t>
      </w:r>
      <w:r>
        <w:rPr>
          <w:spacing w:val="-6"/>
        </w:rPr>
        <w:t xml:space="preserve"> </w:t>
      </w:r>
      <w:r>
        <w:t>chronological,</w:t>
      </w:r>
      <w:r>
        <w:rPr>
          <w:spacing w:val="-4"/>
        </w:rPr>
        <w:t xml:space="preserve"> </w:t>
      </w:r>
      <w:r>
        <w:t>not</w:t>
      </w:r>
      <w:r>
        <w:rPr>
          <w:spacing w:val="-5"/>
        </w:rPr>
        <w:t xml:space="preserve"> </w:t>
      </w:r>
      <w:r>
        <w:t>ranked</w:t>
      </w:r>
      <w:r>
        <w:rPr>
          <w:spacing w:val="-6"/>
        </w:rPr>
        <w:t xml:space="preserve"> </w:t>
      </w:r>
      <w:r>
        <w:t>in</w:t>
      </w:r>
      <w:r>
        <w:rPr>
          <w:spacing w:val="-5"/>
        </w:rPr>
        <w:t xml:space="preserve"> </w:t>
      </w:r>
      <w:r>
        <w:t>terms</w:t>
      </w:r>
      <w:r>
        <w:rPr>
          <w:spacing w:val="-6"/>
        </w:rPr>
        <w:t xml:space="preserve"> </w:t>
      </w:r>
      <w:r>
        <w:t>of</w:t>
      </w:r>
      <w:r>
        <w:rPr>
          <w:spacing w:val="-4"/>
        </w:rPr>
        <w:t xml:space="preserve"> </w:t>
      </w:r>
      <w:r>
        <w:rPr>
          <w:spacing w:val="-2"/>
        </w:rPr>
        <w:t>importance)</w:t>
      </w:r>
    </w:p>
    <w:p w14:paraId="71D70C3C" w14:textId="77777777" w:rsidR="00F770E7" w:rsidRDefault="00000000">
      <w:pPr>
        <w:pStyle w:val="ListParagraph"/>
        <w:numPr>
          <w:ilvl w:val="0"/>
          <w:numId w:val="3"/>
        </w:numPr>
        <w:tabs>
          <w:tab w:val="left" w:pos="818"/>
          <w:tab w:val="left" w:pos="820"/>
        </w:tabs>
        <w:spacing w:line="259" w:lineRule="auto"/>
        <w:ind w:right="153"/>
      </w:pPr>
      <w:commentRangeStart w:id="3"/>
      <w:r>
        <w:t xml:space="preserve">Please include the plasma profiles that are being used in section 2 (plasma density, temperature, spatial distribution of alpha particles, q profile, </w:t>
      </w:r>
      <w:proofErr w:type="spellStart"/>
      <w:r>
        <w:t>etc</w:t>
      </w:r>
      <w:proofErr w:type="spellEnd"/>
      <w:r>
        <w:t xml:space="preserve">). </w:t>
      </w:r>
      <w:commentRangeEnd w:id="3"/>
      <w:r w:rsidR="00134C40">
        <w:rPr>
          <w:rStyle w:val="CommentReference"/>
        </w:rPr>
        <w:commentReference w:id="3"/>
      </w:r>
      <w:r>
        <w:t xml:space="preserve">Likewise, it would be helpful </w:t>
      </w:r>
      <w:commentRangeStart w:id="4"/>
      <w:r>
        <w:t>to include some additional quantitative information about STEP in the introduction, such as magnetic field strength, major radius, and other basic parameters that provide useful context for this work</w:t>
      </w:r>
      <w:commentRangeEnd w:id="4"/>
      <w:r w:rsidR="00830096">
        <w:rPr>
          <w:rStyle w:val="CommentReference"/>
        </w:rPr>
        <w:commentReference w:id="4"/>
      </w:r>
      <w:r>
        <w:t>. If these parameters have still not been finalized in the design, it then becomes even more essential to be explicit about the assumptions that are being made for the nominal configuration being used in your simulations. Some of this was mentioned in section 3, but it would</w:t>
      </w:r>
      <w:r>
        <w:rPr>
          <w:spacing w:val="-5"/>
        </w:rPr>
        <w:t xml:space="preserve"> </w:t>
      </w:r>
      <w:r>
        <w:t>make</w:t>
      </w:r>
      <w:r>
        <w:rPr>
          <w:spacing w:val="-3"/>
        </w:rPr>
        <w:t xml:space="preserve"> </w:t>
      </w:r>
      <w:r>
        <w:t>more</w:t>
      </w:r>
      <w:r>
        <w:rPr>
          <w:spacing w:val="-1"/>
        </w:rPr>
        <w:t xml:space="preserve"> </w:t>
      </w:r>
      <w:r>
        <w:t>sense</w:t>
      </w:r>
      <w:r>
        <w:rPr>
          <w:spacing w:val="-1"/>
        </w:rPr>
        <w:t xml:space="preserve"> </w:t>
      </w:r>
      <w:r>
        <w:t>to</w:t>
      </w:r>
      <w:r>
        <w:rPr>
          <w:spacing w:val="-3"/>
        </w:rPr>
        <w:t xml:space="preserve"> </w:t>
      </w:r>
      <w:r>
        <w:t>present</w:t>
      </w:r>
      <w:r>
        <w:rPr>
          <w:spacing w:val="-1"/>
        </w:rPr>
        <w:t xml:space="preserve"> </w:t>
      </w:r>
      <w:r>
        <w:t>it</w:t>
      </w:r>
      <w:r>
        <w:rPr>
          <w:spacing w:val="-1"/>
        </w:rPr>
        <w:t xml:space="preserve"> </w:t>
      </w:r>
      <w:r>
        <w:t>up</w:t>
      </w:r>
      <w:r>
        <w:rPr>
          <w:spacing w:val="-2"/>
        </w:rPr>
        <w:t xml:space="preserve"> </w:t>
      </w:r>
      <w:r>
        <w:t>front,</w:t>
      </w:r>
      <w:r>
        <w:rPr>
          <w:spacing w:val="-1"/>
        </w:rPr>
        <w:t xml:space="preserve"> </w:t>
      </w:r>
      <w:r>
        <w:t>as I</w:t>
      </w:r>
      <w:r>
        <w:rPr>
          <w:spacing w:val="-1"/>
        </w:rPr>
        <w:t xml:space="preserve"> </w:t>
      </w:r>
      <w:r>
        <w:t>would</w:t>
      </w:r>
      <w:r>
        <w:rPr>
          <w:spacing w:val="-3"/>
        </w:rPr>
        <w:t xml:space="preserve"> </w:t>
      </w:r>
      <w:r>
        <w:t>not</w:t>
      </w:r>
      <w:r>
        <w:rPr>
          <w:spacing w:val="-1"/>
        </w:rPr>
        <w:t xml:space="preserve"> </w:t>
      </w:r>
      <w:r>
        <w:t>consider</w:t>
      </w:r>
      <w:r>
        <w:rPr>
          <w:spacing w:val="-3"/>
        </w:rPr>
        <w:t xml:space="preserve"> </w:t>
      </w:r>
      <w:r>
        <w:t>the design</w:t>
      </w:r>
      <w:r>
        <w:rPr>
          <w:spacing w:val="-5"/>
        </w:rPr>
        <w:t xml:space="preserve"> </w:t>
      </w:r>
      <w:r>
        <w:t>parameters</w:t>
      </w:r>
      <w:r>
        <w:rPr>
          <w:spacing w:val="-3"/>
        </w:rPr>
        <w:t xml:space="preserve"> </w:t>
      </w:r>
      <w:r>
        <w:t>of STEP to be common knowledge.</w:t>
      </w:r>
    </w:p>
    <w:p w14:paraId="71D70C3D" w14:textId="77777777" w:rsidR="00F770E7" w:rsidRDefault="00000000">
      <w:pPr>
        <w:pStyle w:val="ListParagraph"/>
        <w:numPr>
          <w:ilvl w:val="0"/>
          <w:numId w:val="3"/>
        </w:numPr>
        <w:tabs>
          <w:tab w:val="left" w:pos="818"/>
          <w:tab w:val="left" w:pos="820"/>
        </w:tabs>
        <w:spacing w:before="160" w:line="259" w:lineRule="auto"/>
        <w:ind w:right="170"/>
      </w:pPr>
      <w:commentRangeStart w:id="5"/>
      <w:r>
        <w:t>I don’t think the methods of Ref 20 are ones that most readers would be familiar with (kernel density</w:t>
      </w:r>
      <w:r>
        <w:rPr>
          <w:spacing w:val="-6"/>
        </w:rPr>
        <w:t xml:space="preserve"> </w:t>
      </w:r>
      <w:r>
        <w:t>estimation,</w:t>
      </w:r>
      <w:r>
        <w:rPr>
          <w:spacing w:val="-4"/>
        </w:rPr>
        <w:t xml:space="preserve"> </w:t>
      </w:r>
      <w:r>
        <w:t>leave-one-out</w:t>
      </w:r>
      <w:r>
        <w:rPr>
          <w:spacing w:val="-4"/>
        </w:rPr>
        <w:t xml:space="preserve"> </w:t>
      </w:r>
      <w:r>
        <w:t>cross-validation,</w:t>
      </w:r>
      <w:r>
        <w:rPr>
          <w:spacing w:val="-4"/>
        </w:rPr>
        <w:t xml:space="preserve"> </w:t>
      </w:r>
      <w:r>
        <w:t>and</w:t>
      </w:r>
      <w:r>
        <w:rPr>
          <w:spacing w:val="-5"/>
        </w:rPr>
        <w:t xml:space="preserve"> </w:t>
      </w:r>
      <w:r>
        <w:t>bootstrap</w:t>
      </w:r>
      <w:r>
        <w:rPr>
          <w:spacing w:val="-6"/>
        </w:rPr>
        <w:t xml:space="preserve"> </w:t>
      </w:r>
      <w:r>
        <w:t>resampling)</w:t>
      </w:r>
      <w:commentRangeEnd w:id="5"/>
      <w:r w:rsidR="00AA61B3">
        <w:rPr>
          <w:rStyle w:val="CommentReference"/>
        </w:rPr>
        <w:commentReference w:id="5"/>
      </w:r>
      <w:r>
        <w:t>.</w:t>
      </w:r>
      <w:r>
        <w:rPr>
          <w:spacing w:val="-3"/>
        </w:rPr>
        <w:t xml:space="preserve"> </w:t>
      </w:r>
      <w:r>
        <w:t>The</w:t>
      </w:r>
      <w:r>
        <w:rPr>
          <w:spacing w:val="-4"/>
        </w:rPr>
        <w:t xml:space="preserve"> </w:t>
      </w:r>
      <w:r>
        <w:t>paper</w:t>
      </w:r>
      <w:r>
        <w:rPr>
          <w:spacing w:val="-4"/>
        </w:rPr>
        <w:t xml:space="preserve"> </w:t>
      </w:r>
      <w:r>
        <w:t xml:space="preserve">would be improved by giving a description of these methods. Especially since it seems that essentially </w:t>
      </w:r>
      <w:proofErr w:type="gramStart"/>
      <w:r>
        <w:t>all of</w:t>
      </w:r>
      <w:proofErr w:type="gramEnd"/>
      <w:r>
        <w:t xml:space="preserve"> the results and figures in section 2 rely on the calculation of the flux with these methods, these seem like nontrivial details that should be explained.</w:t>
      </w:r>
    </w:p>
    <w:p w14:paraId="71D70C3E" w14:textId="77777777" w:rsidR="00F770E7" w:rsidRDefault="00000000">
      <w:pPr>
        <w:pStyle w:val="ListParagraph"/>
        <w:numPr>
          <w:ilvl w:val="0"/>
          <w:numId w:val="3"/>
        </w:numPr>
        <w:tabs>
          <w:tab w:val="left" w:pos="818"/>
          <w:tab w:val="left" w:pos="820"/>
        </w:tabs>
        <w:spacing w:before="158" w:line="259" w:lineRule="auto"/>
        <w:ind w:right="154"/>
      </w:pPr>
      <w:commentRangeStart w:id="6"/>
      <w:r>
        <w:t>It</w:t>
      </w:r>
      <w:r>
        <w:rPr>
          <w:spacing w:val="-1"/>
        </w:rPr>
        <w:t xml:space="preserve"> </w:t>
      </w:r>
      <w:r>
        <w:t>was</w:t>
      </w:r>
      <w:r>
        <w:rPr>
          <w:spacing w:val="-1"/>
        </w:rPr>
        <w:t xml:space="preserve"> </w:t>
      </w:r>
      <w:r>
        <w:t>not</w:t>
      </w:r>
      <w:r>
        <w:rPr>
          <w:spacing w:val="-3"/>
        </w:rPr>
        <w:t xml:space="preserve"> </w:t>
      </w:r>
      <w:r>
        <w:t>clear</w:t>
      </w:r>
      <w:r>
        <w:rPr>
          <w:spacing w:val="-3"/>
        </w:rPr>
        <w:t xml:space="preserve"> </w:t>
      </w:r>
      <w:r>
        <w:t>to</w:t>
      </w:r>
      <w:r>
        <w:rPr>
          <w:spacing w:val="-2"/>
        </w:rPr>
        <w:t xml:space="preserve"> </w:t>
      </w:r>
      <w:r>
        <w:t>me</w:t>
      </w:r>
      <w:r>
        <w:rPr>
          <w:spacing w:val="-1"/>
        </w:rPr>
        <w:t xml:space="preserve"> </w:t>
      </w:r>
      <w:r>
        <w:t>if</w:t>
      </w:r>
      <w:r>
        <w:rPr>
          <w:spacing w:val="-2"/>
        </w:rPr>
        <w:t xml:space="preserve"> </w:t>
      </w:r>
      <w:r>
        <w:t>there</w:t>
      </w:r>
      <w:r>
        <w:rPr>
          <w:spacing w:val="-3"/>
        </w:rPr>
        <w:t xml:space="preserve"> </w:t>
      </w:r>
      <w:r>
        <w:t>were</w:t>
      </w:r>
      <w:r>
        <w:rPr>
          <w:spacing w:val="-3"/>
        </w:rPr>
        <w:t xml:space="preserve"> </w:t>
      </w:r>
      <w:r>
        <w:t>simulations</w:t>
      </w:r>
      <w:r>
        <w:rPr>
          <w:spacing w:val="-4"/>
        </w:rPr>
        <w:t xml:space="preserve"> </w:t>
      </w:r>
      <w:r>
        <w:t>performed</w:t>
      </w:r>
      <w:r>
        <w:rPr>
          <w:spacing w:val="-4"/>
        </w:rPr>
        <w:t xml:space="preserve"> </w:t>
      </w:r>
      <w:r>
        <w:t>that</w:t>
      </w:r>
      <w:r>
        <w:rPr>
          <w:spacing w:val="-1"/>
        </w:rPr>
        <w:t xml:space="preserve"> </w:t>
      </w:r>
      <w:r>
        <w:t xml:space="preserve">included </w:t>
      </w:r>
      <w:proofErr w:type="gramStart"/>
      <w:r>
        <w:t>all</w:t>
      </w:r>
      <w:r>
        <w:rPr>
          <w:spacing w:val="-5"/>
        </w:rPr>
        <w:t xml:space="preserve"> </w:t>
      </w:r>
      <w:r>
        <w:t>of</w:t>
      </w:r>
      <w:proofErr w:type="gramEnd"/>
      <w:r>
        <w:rPr>
          <w:spacing w:val="-3"/>
        </w:rPr>
        <w:t xml:space="preserve"> </w:t>
      </w:r>
      <w:r>
        <w:t>the</w:t>
      </w:r>
      <w:r>
        <w:rPr>
          <w:spacing w:val="-1"/>
        </w:rPr>
        <w:t xml:space="preserve"> </w:t>
      </w:r>
      <w:r>
        <w:t>different</w:t>
      </w:r>
      <w:r>
        <w:rPr>
          <w:spacing w:val="-3"/>
        </w:rPr>
        <w:t xml:space="preserve"> </w:t>
      </w:r>
      <w:r>
        <w:t>field perturbing effects (TF ripple, ELM suppression, RWM feedback, and AEs) simultaneously</w:t>
      </w:r>
      <w:commentRangeEnd w:id="6"/>
      <w:r w:rsidR="00F25DAF">
        <w:rPr>
          <w:rStyle w:val="CommentReference"/>
        </w:rPr>
        <w:commentReference w:id="6"/>
      </w:r>
      <w:r>
        <w:t xml:space="preserve">. For instance, when the phase shift was being scanned for ELM suppression in Fig 3, did this use an otherwise purely axisymmetric field, or did it also include the toroidal field ripple with the nominal design parameters? </w:t>
      </w:r>
      <w:commentRangeStart w:id="7"/>
      <w:r>
        <w:t xml:space="preserve">If no simulation combined </w:t>
      </w:r>
      <w:proofErr w:type="gramStart"/>
      <w:r>
        <w:t>all of</w:t>
      </w:r>
      <w:proofErr w:type="gramEnd"/>
      <w:r>
        <w:t xml:space="preserve"> the effects, in my mind it is essential to do so, as it is not obvious that the alpha losses due to these different mechanisms would add linearly.</w:t>
      </w:r>
      <w:commentRangeEnd w:id="7"/>
      <w:r w:rsidR="00F25DAF">
        <w:rPr>
          <w:rStyle w:val="CommentReference"/>
        </w:rPr>
        <w:commentReference w:id="7"/>
      </w:r>
    </w:p>
    <w:p w14:paraId="71D70C3F" w14:textId="77777777" w:rsidR="00F770E7" w:rsidRDefault="00000000">
      <w:pPr>
        <w:pStyle w:val="ListParagraph"/>
        <w:numPr>
          <w:ilvl w:val="0"/>
          <w:numId w:val="3"/>
        </w:numPr>
        <w:tabs>
          <w:tab w:val="left" w:pos="818"/>
          <w:tab w:val="left" w:pos="820"/>
        </w:tabs>
        <w:spacing w:before="159" w:line="259" w:lineRule="auto"/>
        <w:ind w:right="290"/>
      </w:pPr>
      <w:commentRangeStart w:id="8"/>
      <w:r>
        <w:t xml:space="preserve">I found figure 5 difficult to read for two reasons. First, the reference point for the theta coordinate is not defined in the text. It seems that theta = 0 corresponds to Z = 0 on the high </w:t>
      </w:r>
      <w:commentRangeEnd w:id="8"/>
      <w:r w:rsidR="004015E0">
        <w:rPr>
          <w:rStyle w:val="CommentReference"/>
        </w:rPr>
        <w:commentReference w:id="8"/>
      </w:r>
      <w:r>
        <w:t>field</w:t>
      </w:r>
      <w:r>
        <w:rPr>
          <w:spacing w:val="-4"/>
        </w:rPr>
        <w:t xml:space="preserve"> </w:t>
      </w:r>
      <w:r>
        <w:t>side,</w:t>
      </w:r>
      <w:r>
        <w:rPr>
          <w:spacing w:val="-2"/>
        </w:rPr>
        <w:t xml:space="preserve"> </w:t>
      </w:r>
      <w:r>
        <w:t>and</w:t>
      </w:r>
      <w:r>
        <w:rPr>
          <w:spacing w:val="-6"/>
        </w:rPr>
        <w:t xml:space="preserve"> </w:t>
      </w:r>
      <w:r>
        <w:t>then</w:t>
      </w:r>
      <w:r>
        <w:rPr>
          <w:spacing w:val="-2"/>
        </w:rPr>
        <w:t xml:space="preserve"> </w:t>
      </w:r>
      <w:r>
        <w:t>theta</w:t>
      </w:r>
      <w:r>
        <w:rPr>
          <w:spacing w:val="-2"/>
        </w:rPr>
        <w:t xml:space="preserve"> </w:t>
      </w:r>
      <w:r>
        <w:t>increases</w:t>
      </w:r>
      <w:r>
        <w:rPr>
          <w:spacing w:val="-5"/>
        </w:rPr>
        <w:t xml:space="preserve"> </w:t>
      </w:r>
      <w:r>
        <w:t>in</w:t>
      </w:r>
      <w:r>
        <w:rPr>
          <w:spacing w:val="-2"/>
        </w:rPr>
        <w:t xml:space="preserve"> </w:t>
      </w:r>
      <w:r>
        <w:t>a</w:t>
      </w:r>
      <w:r>
        <w:rPr>
          <w:spacing w:val="-2"/>
        </w:rPr>
        <w:t xml:space="preserve"> </w:t>
      </w:r>
      <w:proofErr w:type="gramStart"/>
      <w:r>
        <w:t>counter-clockwise</w:t>
      </w:r>
      <w:proofErr w:type="gramEnd"/>
      <w:r>
        <w:rPr>
          <w:spacing w:val="-1"/>
        </w:rPr>
        <w:t xml:space="preserve"> </w:t>
      </w:r>
      <w:r>
        <w:t>sense</w:t>
      </w:r>
      <w:r>
        <w:rPr>
          <w:spacing w:val="-1"/>
        </w:rPr>
        <w:t xml:space="preserve"> </w:t>
      </w:r>
      <w:r>
        <w:t>based</w:t>
      </w:r>
      <w:r>
        <w:rPr>
          <w:spacing w:val="-5"/>
        </w:rPr>
        <w:t xml:space="preserve"> </w:t>
      </w:r>
      <w:r>
        <w:t>on</w:t>
      </w:r>
      <w:r>
        <w:rPr>
          <w:spacing w:val="-5"/>
        </w:rPr>
        <w:t xml:space="preserve"> </w:t>
      </w:r>
      <w:r>
        <w:t>matching</w:t>
      </w:r>
      <w:r>
        <w:rPr>
          <w:spacing w:val="-3"/>
        </w:rPr>
        <w:t xml:space="preserve"> </w:t>
      </w:r>
      <w:r>
        <w:t>up</w:t>
      </w:r>
      <w:r>
        <w:rPr>
          <w:spacing w:val="-3"/>
        </w:rPr>
        <w:t xml:space="preserve"> </w:t>
      </w:r>
      <w:r>
        <w:t>the</w:t>
      </w:r>
      <w:r>
        <w:rPr>
          <w:spacing w:val="-2"/>
        </w:rPr>
        <w:t xml:space="preserve"> </w:t>
      </w:r>
      <w:r>
        <w:t>left</w:t>
      </w:r>
    </w:p>
    <w:p w14:paraId="71D70C40" w14:textId="77777777" w:rsidR="00F770E7" w:rsidRDefault="00F770E7">
      <w:pPr>
        <w:spacing w:line="259" w:lineRule="auto"/>
        <w:sectPr w:rsidR="00F770E7">
          <w:type w:val="continuous"/>
          <w:pgSz w:w="12240" w:h="15840"/>
          <w:pgMar w:top="1400" w:right="1340" w:bottom="280" w:left="1340" w:header="720" w:footer="720" w:gutter="0"/>
          <w:cols w:space="720"/>
        </w:sectPr>
      </w:pPr>
    </w:p>
    <w:p w14:paraId="71D70C41" w14:textId="77777777" w:rsidR="00F770E7" w:rsidRDefault="00000000">
      <w:pPr>
        <w:pStyle w:val="BodyText"/>
        <w:spacing w:before="39" w:line="259" w:lineRule="auto"/>
        <w:ind w:right="126" w:firstLine="0"/>
      </w:pPr>
      <w:r>
        <w:lastRenderedPageBreak/>
        <w:t>and</w:t>
      </w:r>
      <w:r>
        <w:rPr>
          <w:spacing w:val="-3"/>
        </w:rPr>
        <w:t xml:space="preserve"> </w:t>
      </w:r>
      <w:r>
        <w:t>right</w:t>
      </w:r>
      <w:r>
        <w:rPr>
          <w:spacing w:val="-2"/>
        </w:rPr>
        <w:t xml:space="preserve"> </w:t>
      </w:r>
      <w:r>
        <w:t>plots,</w:t>
      </w:r>
      <w:r>
        <w:rPr>
          <w:spacing w:val="-4"/>
        </w:rPr>
        <w:t xml:space="preserve"> </w:t>
      </w:r>
      <w:r>
        <w:t>but</w:t>
      </w:r>
      <w:r>
        <w:rPr>
          <w:spacing w:val="-2"/>
        </w:rPr>
        <w:t xml:space="preserve"> </w:t>
      </w:r>
      <w:r>
        <w:t>this</w:t>
      </w:r>
      <w:r>
        <w:rPr>
          <w:spacing w:val="-2"/>
        </w:rPr>
        <w:t xml:space="preserve"> </w:t>
      </w:r>
      <w:r>
        <w:t>should</w:t>
      </w:r>
      <w:r>
        <w:rPr>
          <w:spacing w:val="-4"/>
        </w:rPr>
        <w:t xml:space="preserve"> </w:t>
      </w:r>
      <w:r>
        <w:t>be</w:t>
      </w:r>
      <w:r>
        <w:rPr>
          <w:spacing w:val="-1"/>
        </w:rPr>
        <w:t xml:space="preserve"> </w:t>
      </w:r>
      <w:r>
        <w:t>stated</w:t>
      </w:r>
      <w:r>
        <w:rPr>
          <w:spacing w:val="-2"/>
        </w:rPr>
        <w:t xml:space="preserve"> </w:t>
      </w:r>
      <w:r>
        <w:t>explicitly.</w:t>
      </w:r>
      <w:r>
        <w:rPr>
          <w:spacing w:val="-2"/>
        </w:rPr>
        <w:t xml:space="preserve"> </w:t>
      </w:r>
      <w:r>
        <w:t>Second,</w:t>
      </w:r>
      <w:r>
        <w:rPr>
          <w:spacing w:val="-2"/>
        </w:rPr>
        <w:t xml:space="preserve"> </w:t>
      </w:r>
      <w:r>
        <w:t>due</w:t>
      </w:r>
      <w:r>
        <w:rPr>
          <w:spacing w:val="-2"/>
        </w:rPr>
        <w:t xml:space="preserve"> </w:t>
      </w:r>
      <w:r>
        <w:t>to</w:t>
      </w:r>
      <w:r>
        <w:rPr>
          <w:spacing w:val="-3"/>
        </w:rPr>
        <w:t xml:space="preserve"> </w:t>
      </w:r>
      <w:r>
        <w:t>the</w:t>
      </w:r>
      <w:r>
        <w:rPr>
          <w:spacing w:val="-4"/>
        </w:rPr>
        <w:t xml:space="preserve"> </w:t>
      </w:r>
      <w:r>
        <w:t>very</w:t>
      </w:r>
      <w:r>
        <w:rPr>
          <w:spacing w:val="-2"/>
        </w:rPr>
        <w:t xml:space="preserve"> </w:t>
      </w:r>
      <w:r>
        <w:t>large</w:t>
      </w:r>
      <w:r>
        <w:rPr>
          <w:spacing w:val="-4"/>
        </w:rPr>
        <w:t xml:space="preserve"> </w:t>
      </w:r>
      <w:r>
        <w:t>changes</w:t>
      </w:r>
      <w:r>
        <w:rPr>
          <w:spacing w:val="-1"/>
        </w:rPr>
        <w:t xml:space="preserve"> </w:t>
      </w:r>
      <w:r>
        <w:t>in</w:t>
      </w:r>
      <w:r>
        <w:rPr>
          <w:spacing w:val="-1"/>
        </w:rPr>
        <w:t xml:space="preserve"> </w:t>
      </w:r>
      <w:r>
        <w:t>heat fluxes as theta is varied, the color scale does not really stand out on the left plot (almost the entire</w:t>
      </w:r>
      <w:r>
        <w:rPr>
          <w:spacing w:val="-1"/>
        </w:rPr>
        <w:t xml:space="preserve"> </w:t>
      </w:r>
      <w:r>
        <w:t>contour</w:t>
      </w:r>
      <w:r>
        <w:rPr>
          <w:spacing w:val="-1"/>
        </w:rPr>
        <w:t xml:space="preserve"> </w:t>
      </w:r>
      <w:r>
        <w:t>is</w:t>
      </w:r>
      <w:r>
        <w:rPr>
          <w:spacing w:val="-1"/>
        </w:rPr>
        <w:t xml:space="preserve"> </w:t>
      </w:r>
      <w:r>
        <w:t>dark</w:t>
      </w:r>
      <w:r>
        <w:rPr>
          <w:spacing w:val="-1"/>
        </w:rPr>
        <w:t xml:space="preserve"> </w:t>
      </w:r>
      <w:r>
        <w:t>blue,</w:t>
      </w:r>
      <w:r>
        <w:rPr>
          <w:spacing w:val="-3"/>
        </w:rPr>
        <w:t xml:space="preserve"> </w:t>
      </w:r>
      <w:r>
        <w:t>except</w:t>
      </w:r>
      <w:r>
        <w:rPr>
          <w:spacing w:val="-1"/>
        </w:rPr>
        <w:t xml:space="preserve"> </w:t>
      </w:r>
      <w:r>
        <w:t>for</w:t>
      </w:r>
      <w:r>
        <w:rPr>
          <w:spacing w:val="-1"/>
        </w:rPr>
        <w:t xml:space="preserve"> </w:t>
      </w:r>
      <w:r>
        <w:t>some</w:t>
      </w:r>
      <w:r>
        <w:rPr>
          <w:spacing w:val="-1"/>
        </w:rPr>
        <w:t xml:space="preserve"> </w:t>
      </w:r>
      <w:r>
        <w:t>isolated</w:t>
      </w:r>
      <w:r>
        <w:rPr>
          <w:spacing w:val="-1"/>
        </w:rPr>
        <w:t xml:space="preserve"> </w:t>
      </w:r>
      <w:r>
        <w:t>points).</w:t>
      </w:r>
      <w:r>
        <w:rPr>
          <w:spacing w:val="-1"/>
        </w:rPr>
        <w:t xml:space="preserve"> </w:t>
      </w:r>
      <w:commentRangeStart w:id="9"/>
      <w:r>
        <w:t>I</w:t>
      </w:r>
      <w:r>
        <w:rPr>
          <w:spacing w:val="-4"/>
        </w:rPr>
        <w:t xml:space="preserve"> </w:t>
      </w:r>
      <w:r>
        <w:t>would</w:t>
      </w:r>
      <w:r>
        <w:rPr>
          <w:spacing w:val="-3"/>
        </w:rPr>
        <w:t xml:space="preserve"> </w:t>
      </w:r>
      <w:r>
        <w:t>recommend remaking</w:t>
      </w:r>
      <w:r>
        <w:rPr>
          <w:spacing w:val="-2"/>
        </w:rPr>
        <w:t xml:space="preserve"> </w:t>
      </w:r>
      <w:r>
        <w:t>both panels on a log scale (the color scale on the left and</w:t>
      </w:r>
      <w:r>
        <w:rPr>
          <w:spacing w:val="-1"/>
        </w:rPr>
        <w:t xml:space="preserve"> </w:t>
      </w:r>
      <w:r>
        <w:t xml:space="preserve">the y axis scale on the right). </w:t>
      </w:r>
      <w:commentRangeEnd w:id="9"/>
      <w:r w:rsidR="007D2936">
        <w:rPr>
          <w:rStyle w:val="CommentReference"/>
        </w:rPr>
        <w:commentReference w:id="9"/>
      </w:r>
      <w:proofErr w:type="gramStart"/>
      <w:r>
        <w:t>Also</w:t>
      </w:r>
      <w:proofErr w:type="gramEnd"/>
      <w:r>
        <w:t xml:space="preserve"> regarding Fig 5, can any insight be gained about why these isolated locations have such dramatically</w:t>
      </w:r>
      <w:r>
        <w:rPr>
          <w:spacing w:val="40"/>
        </w:rPr>
        <w:t xml:space="preserve"> </w:t>
      </w:r>
      <w:r>
        <w:t xml:space="preserve">higher fluxes than other nearby regions? </w:t>
      </w:r>
      <w:commentRangeStart w:id="10"/>
      <w:r>
        <w:t>The single point in the outer leg of the lower diverter that</w:t>
      </w:r>
      <w:r>
        <w:rPr>
          <w:spacing w:val="-1"/>
        </w:rPr>
        <w:t xml:space="preserve"> </w:t>
      </w:r>
      <w:r>
        <w:t>has</w:t>
      </w:r>
      <w:r>
        <w:rPr>
          <w:spacing w:val="-4"/>
        </w:rPr>
        <w:t xml:space="preserve"> </w:t>
      </w:r>
      <w:r>
        <w:t>very</w:t>
      </w:r>
      <w:r>
        <w:rPr>
          <w:spacing w:val="-1"/>
        </w:rPr>
        <w:t xml:space="preserve"> </w:t>
      </w:r>
      <w:r>
        <w:t>high</w:t>
      </w:r>
      <w:r>
        <w:rPr>
          <w:spacing w:val="-2"/>
        </w:rPr>
        <w:t xml:space="preserve"> </w:t>
      </w:r>
      <w:r>
        <w:t>flux seems</w:t>
      </w:r>
      <w:r>
        <w:rPr>
          <w:spacing w:val="-3"/>
        </w:rPr>
        <w:t xml:space="preserve"> </w:t>
      </w:r>
      <w:r>
        <w:t>odd</w:t>
      </w:r>
      <w:r>
        <w:rPr>
          <w:spacing w:val="-2"/>
        </w:rPr>
        <w:t xml:space="preserve"> </w:t>
      </w:r>
      <w:r>
        <w:t>to be</w:t>
      </w:r>
      <w:r>
        <w:rPr>
          <w:spacing w:val="-3"/>
        </w:rPr>
        <w:t xml:space="preserve"> </w:t>
      </w:r>
      <w:r>
        <w:t>since</w:t>
      </w:r>
      <w:r>
        <w:rPr>
          <w:spacing w:val="-3"/>
        </w:rPr>
        <w:t xml:space="preserve"> </w:t>
      </w:r>
      <w:r>
        <w:t>the</w:t>
      </w:r>
      <w:r>
        <w:rPr>
          <w:spacing w:val="-1"/>
        </w:rPr>
        <w:t xml:space="preserve"> </w:t>
      </w:r>
      <w:r>
        <w:t>points to</w:t>
      </w:r>
      <w:r>
        <w:rPr>
          <w:spacing w:val="-1"/>
        </w:rPr>
        <w:t xml:space="preserve"> </w:t>
      </w:r>
      <w:r>
        <w:t>the</w:t>
      </w:r>
      <w:r>
        <w:rPr>
          <w:spacing w:val="-3"/>
        </w:rPr>
        <w:t xml:space="preserve"> </w:t>
      </w:r>
      <w:r>
        <w:t>left</w:t>
      </w:r>
      <w:r>
        <w:rPr>
          <w:spacing w:val="-3"/>
        </w:rPr>
        <w:t xml:space="preserve"> </w:t>
      </w:r>
      <w:r>
        <w:t>and</w:t>
      </w:r>
      <w:r>
        <w:rPr>
          <w:spacing w:val="-3"/>
        </w:rPr>
        <w:t xml:space="preserve"> </w:t>
      </w:r>
      <w:r>
        <w:t>right</w:t>
      </w:r>
      <w:r>
        <w:rPr>
          <w:spacing w:val="-1"/>
        </w:rPr>
        <w:t xml:space="preserve"> </w:t>
      </w:r>
      <w:r>
        <w:t>of</w:t>
      </w:r>
      <w:r>
        <w:rPr>
          <w:spacing w:val="-4"/>
        </w:rPr>
        <w:t xml:space="preserve"> </w:t>
      </w:r>
      <w:r>
        <w:t>it</w:t>
      </w:r>
      <w:r>
        <w:rPr>
          <w:spacing w:val="-1"/>
        </w:rPr>
        <w:t xml:space="preserve"> </w:t>
      </w:r>
      <w:r>
        <w:t>have</w:t>
      </w:r>
      <w:r>
        <w:rPr>
          <w:spacing w:val="-3"/>
        </w:rPr>
        <w:t xml:space="preserve"> </w:t>
      </w:r>
      <w:r>
        <w:t>essentially zero flux.</w:t>
      </w:r>
      <w:r>
        <w:rPr>
          <w:spacing w:val="-2"/>
        </w:rPr>
        <w:t xml:space="preserve"> </w:t>
      </w:r>
      <w:r>
        <w:t>Why is it</w:t>
      </w:r>
      <w:r>
        <w:rPr>
          <w:spacing w:val="-2"/>
        </w:rPr>
        <w:t xml:space="preserve"> </w:t>
      </w:r>
      <w:r>
        <w:t>so intensely focused on</w:t>
      </w:r>
      <w:r>
        <w:rPr>
          <w:spacing w:val="-3"/>
        </w:rPr>
        <w:t xml:space="preserve"> </w:t>
      </w:r>
      <w:r>
        <w:t>this point such that there is</w:t>
      </w:r>
      <w:r>
        <w:rPr>
          <w:spacing w:val="-3"/>
        </w:rPr>
        <w:t xml:space="preserve"> </w:t>
      </w:r>
      <w:r>
        <w:t>not</w:t>
      </w:r>
      <w:r>
        <w:rPr>
          <w:spacing w:val="-2"/>
        </w:rPr>
        <w:t xml:space="preserve"> </w:t>
      </w:r>
      <w:r>
        <w:t>even</w:t>
      </w:r>
      <w:r>
        <w:rPr>
          <w:spacing w:val="-3"/>
        </w:rPr>
        <w:t xml:space="preserve"> </w:t>
      </w:r>
      <w:r>
        <w:t>a finite</w:t>
      </w:r>
      <w:r>
        <w:rPr>
          <w:spacing w:val="-2"/>
        </w:rPr>
        <w:t xml:space="preserve"> </w:t>
      </w:r>
      <w:r>
        <w:t>width</w:t>
      </w:r>
      <w:r>
        <w:rPr>
          <w:spacing w:val="-1"/>
        </w:rPr>
        <w:t xml:space="preserve"> </w:t>
      </w:r>
      <w:r>
        <w:t>to this peak like there is for the other ones on this plot?</w:t>
      </w:r>
      <w:commentRangeEnd w:id="10"/>
      <w:r w:rsidR="007D2936">
        <w:rPr>
          <w:rStyle w:val="CommentReference"/>
        </w:rPr>
        <w:commentReference w:id="10"/>
      </w:r>
    </w:p>
    <w:p w14:paraId="71D70C42" w14:textId="77777777" w:rsidR="00F770E7" w:rsidRDefault="00000000">
      <w:pPr>
        <w:pStyle w:val="ListParagraph"/>
        <w:numPr>
          <w:ilvl w:val="0"/>
          <w:numId w:val="3"/>
        </w:numPr>
        <w:tabs>
          <w:tab w:val="left" w:pos="818"/>
          <w:tab w:val="left" w:pos="820"/>
        </w:tabs>
        <w:spacing w:before="157" w:line="259" w:lineRule="auto"/>
        <w:ind w:right="356"/>
      </w:pPr>
      <w:r>
        <w:t>Since the peak heat fluxes are so poloidally localized, does this mean that there are characteristic</w:t>
      </w:r>
      <w:r>
        <w:rPr>
          <w:spacing w:val="-1"/>
        </w:rPr>
        <w:t xml:space="preserve"> </w:t>
      </w:r>
      <w:r>
        <w:t>loss</w:t>
      </w:r>
      <w:r>
        <w:rPr>
          <w:spacing w:val="-3"/>
        </w:rPr>
        <w:t xml:space="preserve"> </w:t>
      </w:r>
      <w:r>
        <w:t>orbits</w:t>
      </w:r>
      <w:r>
        <w:rPr>
          <w:spacing w:val="-4"/>
        </w:rPr>
        <w:t xml:space="preserve"> </w:t>
      </w:r>
      <w:r>
        <w:t>for</w:t>
      </w:r>
      <w:r>
        <w:rPr>
          <w:spacing w:val="-1"/>
        </w:rPr>
        <w:t xml:space="preserve"> </w:t>
      </w:r>
      <w:r>
        <w:t>the</w:t>
      </w:r>
      <w:r>
        <w:rPr>
          <w:spacing w:val="-1"/>
        </w:rPr>
        <w:t xml:space="preserve"> </w:t>
      </w:r>
      <w:r>
        <w:t>alpha</w:t>
      </w:r>
      <w:r>
        <w:rPr>
          <w:spacing w:val="-1"/>
        </w:rPr>
        <w:t xml:space="preserve"> </w:t>
      </w:r>
      <w:r>
        <w:t>particles</w:t>
      </w:r>
      <w:r>
        <w:rPr>
          <w:spacing w:val="-3"/>
        </w:rPr>
        <w:t xml:space="preserve"> </w:t>
      </w:r>
      <w:r>
        <w:t>that</w:t>
      </w:r>
      <w:r>
        <w:rPr>
          <w:spacing w:val="-1"/>
        </w:rPr>
        <w:t xml:space="preserve"> </w:t>
      </w:r>
      <w:r>
        <w:t>prefer</w:t>
      </w:r>
      <w:r>
        <w:rPr>
          <w:spacing w:val="-1"/>
        </w:rPr>
        <w:t xml:space="preserve"> </w:t>
      </w:r>
      <w:r>
        <w:t>those</w:t>
      </w:r>
      <w:r>
        <w:rPr>
          <w:spacing w:val="-3"/>
        </w:rPr>
        <w:t xml:space="preserve"> </w:t>
      </w:r>
      <w:r>
        <w:t>specific poloidal</w:t>
      </w:r>
      <w:r>
        <w:rPr>
          <w:spacing w:val="-4"/>
        </w:rPr>
        <w:t xml:space="preserve"> </w:t>
      </w:r>
      <w:r>
        <w:t>locations</w:t>
      </w:r>
      <w:r>
        <w:rPr>
          <w:spacing w:val="-3"/>
        </w:rPr>
        <w:t xml:space="preserve"> </w:t>
      </w:r>
      <w:r>
        <w:t>on the</w:t>
      </w:r>
      <w:r>
        <w:rPr>
          <w:spacing w:val="-2"/>
        </w:rPr>
        <w:t xml:space="preserve"> </w:t>
      </w:r>
      <w:r>
        <w:t>wall?</w:t>
      </w:r>
      <w:r>
        <w:rPr>
          <w:spacing w:val="-2"/>
        </w:rPr>
        <w:t xml:space="preserve"> </w:t>
      </w:r>
      <w:commentRangeStart w:id="11"/>
      <w:r>
        <w:t>If</w:t>
      </w:r>
      <w:r>
        <w:rPr>
          <w:spacing w:val="-2"/>
        </w:rPr>
        <w:t xml:space="preserve"> </w:t>
      </w:r>
      <w:r>
        <w:t>so,</w:t>
      </w:r>
      <w:r>
        <w:rPr>
          <w:spacing w:val="-2"/>
        </w:rPr>
        <w:t xml:space="preserve"> </w:t>
      </w:r>
      <w:r>
        <w:t>it</w:t>
      </w:r>
      <w:r>
        <w:rPr>
          <w:spacing w:val="-1"/>
        </w:rPr>
        <w:t xml:space="preserve"> </w:t>
      </w:r>
      <w:r>
        <w:t>would</w:t>
      </w:r>
      <w:r>
        <w:rPr>
          <w:spacing w:val="-4"/>
        </w:rPr>
        <w:t xml:space="preserve"> </w:t>
      </w:r>
      <w:r>
        <w:t>be</w:t>
      </w:r>
      <w:r>
        <w:rPr>
          <w:spacing w:val="-4"/>
        </w:rPr>
        <w:t xml:space="preserve"> </w:t>
      </w:r>
      <w:r>
        <w:t>instructive</w:t>
      </w:r>
      <w:r>
        <w:rPr>
          <w:spacing w:val="-2"/>
        </w:rPr>
        <w:t xml:space="preserve"> </w:t>
      </w:r>
      <w:r>
        <w:t>if</w:t>
      </w:r>
      <w:r>
        <w:rPr>
          <w:spacing w:val="-2"/>
        </w:rPr>
        <w:t xml:space="preserve"> </w:t>
      </w:r>
      <w:r>
        <w:t>these</w:t>
      </w:r>
      <w:r>
        <w:rPr>
          <w:spacing w:val="-4"/>
        </w:rPr>
        <w:t xml:space="preserve"> </w:t>
      </w:r>
      <w:r>
        <w:t>characteristic</w:t>
      </w:r>
      <w:r>
        <w:rPr>
          <w:spacing w:val="-5"/>
        </w:rPr>
        <w:t xml:space="preserve"> </w:t>
      </w:r>
      <w:r>
        <w:t>orbit trajectories</w:t>
      </w:r>
      <w:r>
        <w:rPr>
          <w:spacing w:val="-2"/>
        </w:rPr>
        <w:t xml:space="preserve"> </w:t>
      </w:r>
      <w:r>
        <w:t>could</w:t>
      </w:r>
      <w:r>
        <w:rPr>
          <w:spacing w:val="-3"/>
        </w:rPr>
        <w:t xml:space="preserve"> </w:t>
      </w:r>
      <w:r>
        <w:t>be</w:t>
      </w:r>
      <w:r>
        <w:rPr>
          <w:spacing w:val="-2"/>
        </w:rPr>
        <w:t xml:space="preserve"> </w:t>
      </w:r>
      <w:r>
        <w:t>plotted on the inside of the cross section in the left panel of figure 5.</w:t>
      </w:r>
      <w:commentRangeEnd w:id="11"/>
      <w:r w:rsidR="00C546B9">
        <w:rPr>
          <w:rStyle w:val="CommentReference"/>
        </w:rPr>
        <w:commentReference w:id="11"/>
      </w:r>
    </w:p>
    <w:p w14:paraId="71D70C43" w14:textId="77777777" w:rsidR="00F770E7" w:rsidRDefault="00000000">
      <w:pPr>
        <w:pStyle w:val="ListParagraph"/>
        <w:numPr>
          <w:ilvl w:val="0"/>
          <w:numId w:val="3"/>
        </w:numPr>
        <w:tabs>
          <w:tab w:val="left" w:pos="818"/>
          <w:tab w:val="left" w:pos="820"/>
        </w:tabs>
        <w:spacing w:before="161" w:line="259" w:lineRule="auto"/>
        <w:ind w:right="132"/>
      </w:pPr>
      <w:proofErr w:type="gramStart"/>
      <w:r>
        <w:t>Similar to</w:t>
      </w:r>
      <w:proofErr w:type="gramEnd"/>
      <w:r>
        <w:t xml:space="preserve"> other comments, it would be worthwhile to give a brief description of the MARS-F code beyond saying that it solves an eigenvalue problem. E.g. what model does it use for the plasma,</w:t>
      </w:r>
      <w:r>
        <w:rPr>
          <w:spacing w:val="-1"/>
        </w:rPr>
        <w:t xml:space="preserve"> </w:t>
      </w:r>
      <w:r>
        <w:t>does</w:t>
      </w:r>
      <w:r>
        <w:rPr>
          <w:spacing w:val="-3"/>
        </w:rPr>
        <w:t xml:space="preserve"> </w:t>
      </w:r>
      <w:r>
        <w:t>it include</w:t>
      </w:r>
      <w:r>
        <w:rPr>
          <w:spacing w:val="-3"/>
        </w:rPr>
        <w:t xml:space="preserve"> </w:t>
      </w:r>
      <w:r>
        <w:t>the</w:t>
      </w:r>
      <w:r>
        <w:rPr>
          <w:spacing w:val="-3"/>
        </w:rPr>
        <w:t xml:space="preserve"> </w:t>
      </w:r>
      <w:r>
        <w:t>contribution</w:t>
      </w:r>
      <w:r>
        <w:rPr>
          <w:spacing w:val="-2"/>
        </w:rPr>
        <w:t xml:space="preserve"> </w:t>
      </w:r>
      <w:r>
        <w:t>from fast</w:t>
      </w:r>
      <w:r>
        <w:rPr>
          <w:spacing w:val="-1"/>
        </w:rPr>
        <w:t xml:space="preserve"> </w:t>
      </w:r>
      <w:r>
        <w:t>ions,</w:t>
      </w:r>
      <w:r>
        <w:rPr>
          <w:spacing w:val="-4"/>
        </w:rPr>
        <w:t xml:space="preserve"> </w:t>
      </w:r>
      <w:r>
        <w:t>etc. Some</w:t>
      </w:r>
      <w:r>
        <w:rPr>
          <w:spacing w:val="-3"/>
        </w:rPr>
        <w:t xml:space="preserve"> </w:t>
      </w:r>
      <w:r>
        <w:t>elaboration</w:t>
      </w:r>
      <w:r>
        <w:rPr>
          <w:spacing w:val="-4"/>
        </w:rPr>
        <w:t xml:space="preserve"> </w:t>
      </w:r>
      <w:r>
        <w:t>would</w:t>
      </w:r>
      <w:r>
        <w:rPr>
          <w:spacing w:val="-3"/>
        </w:rPr>
        <w:t xml:space="preserve"> </w:t>
      </w:r>
      <w:r>
        <w:t>be</w:t>
      </w:r>
      <w:r>
        <w:rPr>
          <w:spacing w:val="-1"/>
        </w:rPr>
        <w:t xml:space="preserve"> </w:t>
      </w:r>
      <w:r>
        <w:t xml:space="preserve">valuable to give the reading additional context beyond the existing description that it is a code that calculates the RWM </w:t>
      </w:r>
      <w:proofErr w:type="spellStart"/>
      <w:r>
        <w:t>eigenstructure</w:t>
      </w:r>
      <w:proofErr w:type="spellEnd"/>
      <w:r>
        <w:t>. Likewise for HAGIS and HALO in section 3. Are these initial value</w:t>
      </w:r>
      <w:r>
        <w:rPr>
          <w:spacing w:val="-2"/>
        </w:rPr>
        <w:t xml:space="preserve"> </w:t>
      </w:r>
      <w:r>
        <w:t>codes,</w:t>
      </w:r>
      <w:r>
        <w:rPr>
          <w:spacing w:val="-1"/>
        </w:rPr>
        <w:t xml:space="preserve"> </w:t>
      </w:r>
      <w:r>
        <w:t>spectral</w:t>
      </w:r>
      <w:r>
        <w:rPr>
          <w:spacing w:val="-2"/>
        </w:rPr>
        <w:t xml:space="preserve"> </w:t>
      </w:r>
      <w:r>
        <w:t>codes,</w:t>
      </w:r>
      <w:r>
        <w:rPr>
          <w:spacing w:val="-2"/>
        </w:rPr>
        <w:t xml:space="preserve"> </w:t>
      </w:r>
      <w:r>
        <w:t>gyrokinetic</w:t>
      </w:r>
      <w:r>
        <w:rPr>
          <w:spacing w:val="-5"/>
        </w:rPr>
        <w:t xml:space="preserve"> </w:t>
      </w:r>
      <w:r>
        <w:t>codes,</w:t>
      </w:r>
      <w:r>
        <w:rPr>
          <w:spacing w:val="-1"/>
        </w:rPr>
        <w:t xml:space="preserve"> </w:t>
      </w:r>
      <w:r>
        <w:t>hybrid</w:t>
      </w:r>
      <w:r>
        <w:rPr>
          <w:spacing w:val="-6"/>
        </w:rPr>
        <w:t xml:space="preserve"> </w:t>
      </w:r>
      <w:r>
        <w:t>codes,</w:t>
      </w:r>
      <w:r>
        <w:rPr>
          <w:spacing w:val="-4"/>
        </w:rPr>
        <w:t xml:space="preserve"> </w:t>
      </w:r>
      <w:r>
        <w:t>what</w:t>
      </w:r>
      <w:r>
        <w:rPr>
          <w:spacing w:val="-5"/>
        </w:rPr>
        <w:t xml:space="preserve"> </w:t>
      </w:r>
      <w:r>
        <w:t>are</w:t>
      </w:r>
      <w:r>
        <w:rPr>
          <w:spacing w:val="-4"/>
        </w:rPr>
        <w:t xml:space="preserve"> </w:t>
      </w:r>
      <w:r>
        <w:t>their</w:t>
      </w:r>
      <w:r>
        <w:rPr>
          <w:spacing w:val="-2"/>
        </w:rPr>
        <w:t xml:space="preserve"> </w:t>
      </w:r>
      <w:r>
        <w:t>physics</w:t>
      </w:r>
      <w:r>
        <w:rPr>
          <w:spacing w:val="-2"/>
        </w:rPr>
        <w:t xml:space="preserve"> </w:t>
      </w:r>
      <w:r>
        <w:t xml:space="preserve">models, </w:t>
      </w:r>
      <w:proofErr w:type="spellStart"/>
      <w:r>
        <w:t>etc</w:t>
      </w:r>
      <w:proofErr w:type="spellEnd"/>
      <w:r>
        <w:t>?</w:t>
      </w:r>
    </w:p>
    <w:p w14:paraId="71D70C44" w14:textId="77777777" w:rsidR="00F770E7" w:rsidRDefault="00000000">
      <w:pPr>
        <w:pStyle w:val="ListParagraph"/>
        <w:numPr>
          <w:ilvl w:val="0"/>
          <w:numId w:val="3"/>
        </w:numPr>
        <w:tabs>
          <w:tab w:val="left" w:pos="818"/>
          <w:tab w:val="left" w:pos="820"/>
        </w:tabs>
        <w:spacing w:before="158" w:line="259" w:lineRule="auto"/>
        <w:ind w:right="143"/>
      </w:pPr>
      <w:r>
        <w:t xml:space="preserve">I didn’t quite understand why TAEs were singled out as a representative fast ion instability. Compared to higher frequency gap modes like EAEs, </w:t>
      </w:r>
      <w:proofErr w:type="spellStart"/>
      <w:r>
        <w:t>etc</w:t>
      </w:r>
      <w:proofErr w:type="spellEnd"/>
      <w:r>
        <w:t xml:space="preserve">, it makes sense to first consider TAEs. But were RSAEs explicitly excluded from the </w:t>
      </w:r>
      <w:proofErr w:type="spellStart"/>
      <w:r>
        <w:t>eigenspectrum</w:t>
      </w:r>
      <w:proofErr w:type="spellEnd"/>
      <w:r>
        <w:t xml:space="preserve"> calculation? If</w:t>
      </w:r>
      <w:r>
        <w:rPr>
          <w:spacing w:val="-1"/>
        </w:rPr>
        <w:t xml:space="preserve"> </w:t>
      </w:r>
      <w:r>
        <w:t>the fast ions</w:t>
      </w:r>
      <w:r>
        <w:rPr>
          <w:spacing w:val="-1"/>
        </w:rPr>
        <w:t xml:space="preserve"> </w:t>
      </w:r>
      <w:r>
        <w:t>are very super-Alfvenic as described in the beginning of section 3, I would naively expect that there would</w:t>
      </w:r>
      <w:r>
        <w:rPr>
          <w:spacing w:val="-4"/>
        </w:rPr>
        <w:t xml:space="preserve"> </w:t>
      </w:r>
      <w:r>
        <w:t>be</w:t>
      </w:r>
      <w:r>
        <w:rPr>
          <w:spacing w:val="-4"/>
        </w:rPr>
        <w:t xml:space="preserve"> </w:t>
      </w:r>
      <w:r>
        <w:t>a</w:t>
      </w:r>
      <w:r>
        <w:rPr>
          <w:spacing w:val="-2"/>
        </w:rPr>
        <w:t xml:space="preserve"> </w:t>
      </w:r>
      <w:r>
        <w:t>very</w:t>
      </w:r>
      <w:r>
        <w:rPr>
          <w:spacing w:val="-4"/>
        </w:rPr>
        <w:t xml:space="preserve"> </w:t>
      </w:r>
      <w:r>
        <w:t>dense</w:t>
      </w:r>
      <w:r>
        <w:rPr>
          <w:spacing w:val="-5"/>
        </w:rPr>
        <w:t xml:space="preserve"> </w:t>
      </w:r>
      <w:r>
        <w:t>spectrum</w:t>
      </w:r>
      <w:r>
        <w:rPr>
          <w:spacing w:val="-4"/>
        </w:rPr>
        <w:t xml:space="preserve"> </w:t>
      </w:r>
      <w:r>
        <w:t>of</w:t>
      </w:r>
      <w:r>
        <w:rPr>
          <w:spacing w:val="-1"/>
        </w:rPr>
        <w:t xml:space="preserve"> </w:t>
      </w:r>
      <w:r>
        <w:t>unstable</w:t>
      </w:r>
      <w:r>
        <w:rPr>
          <w:spacing w:val="-4"/>
        </w:rPr>
        <w:t xml:space="preserve"> </w:t>
      </w:r>
      <w:r>
        <w:t>modes</w:t>
      </w:r>
      <w:r>
        <w:rPr>
          <w:spacing w:val="-1"/>
        </w:rPr>
        <w:t xml:space="preserve"> </w:t>
      </w:r>
      <w:r>
        <w:t>that</w:t>
      </w:r>
      <w:r>
        <w:rPr>
          <w:spacing w:val="-2"/>
        </w:rPr>
        <w:t xml:space="preserve"> </w:t>
      </w:r>
      <w:r>
        <w:t>could</w:t>
      </w:r>
      <w:r>
        <w:rPr>
          <w:spacing w:val="-4"/>
        </w:rPr>
        <w:t xml:space="preserve"> </w:t>
      </w:r>
      <w:r>
        <w:t>be</w:t>
      </w:r>
      <w:r>
        <w:rPr>
          <w:spacing w:val="-2"/>
        </w:rPr>
        <w:t xml:space="preserve"> </w:t>
      </w:r>
      <w:r>
        <w:t>excited,</w:t>
      </w:r>
      <w:r>
        <w:rPr>
          <w:spacing w:val="-5"/>
        </w:rPr>
        <w:t xml:space="preserve"> </w:t>
      </w:r>
      <w:r>
        <w:t>maybe</w:t>
      </w:r>
      <w:r>
        <w:rPr>
          <w:spacing w:val="-2"/>
        </w:rPr>
        <w:t xml:space="preserve"> </w:t>
      </w:r>
      <w:r>
        <w:t>even</w:t>
      </w:r>
      <w:r>
        <w:rPr>
          <w:spacing w:val="-2"/>
        </w:rPr>
        <w:t xml:space="preserve"> </w:t>
      </w:r>
      <w:r>
        <w:t>including EPMs or other low frequency modes.</w:t>
      </w:r>
    </w:p>
    <w:p w14:paraId="3A8D36A0" w14:textId="77777777" w:rsidR="00C534AE" w:rsidRDefault="00C534AE" w:rsidP="00C534AE">
      <w:pPr>
        <w:pStyle w:val="ListParagraph"/>
        <w:numPr>
          <w:ilvl w:val="0"/>
          <w:numId w:val="3"/>
        </w:numPr>
        <w:tabs>
          <w:tab w:val="left" w:pos="818"/>
          <w:tab w:val="left" w:pos="820"/>
        </w:tabs>
        <w:spacing w:before="161" w:line="259" w:lineRule="auto"/>
        <w:ind w:right="177"/>
      </w:pPr>
      <w:r>
        <w:t>Do</w:t>
      </w:r>
      <w:r>
        <w:rPr>
          <w:spacing w:val="-3"/>
        </w:rPr>
        <w:t xml:space="preserve"> </w:t>
      </w:r>
      <w:r>
        <w:t>I</w:t>
      </w:r>
      <w:r>
        <w:rPr>
          <w:spacing w:val="-2"/>
        </w:rPr>
        <w:t xml:space="preserve"> </w:t>
      </w:r>
      <w:r>
        <w:t>understand</w:t>
      </w:r>
      <w:r>
        <w:rPr>
          <w:spacing w:val="-3"/>
        </w:rPr>
        <w:t xml:space="preserve"> </w:t>
      </w:r>
      <w:r>
        <w:t>correctly</w:t>
      </w:r>
      <w:r>
        <w:rPr>
          <w:spacing w:val="-4"/>
        </w:rPr>
        <w:t xml:space="preserve"> </w:t>
      </w:r>
      <w:r>
        <w:t>that</w:t>
      </w:r>
      <w:r>
        <w:rPr>
          <w:spacing w:val="-2"/>
        </w:rPr>
        <w:t xml:space="preserve"> </w:t>
      </w:r>
      <w:r>
        <w:t>only</w:t>
      </w:r>
      <w:r>
        <w:rPr>
          <w:spacing w:val="-4"/>
        </w:rPr>
        <w:t xml:space="preserve"> </w:t>
      </w:r>
      <w:r>
        <w:t>a</w:t>
      </w:r>
      <w:r>
        <w:rPr>
          <w:spacing w:val="-2"/>
        </w:rPr>
        <w:t xml:space="preserve"> </w:t>
      </w:r>
      <w:r>
        <w:t>single</w:t>
      </w:r>
      <w:r>
        <w:rPr>
          <w:spacing w:val="-2"/>
        </w:rPr>
        <w:t xml:space="preserve"> </w:t>
      </w:r>
      <w:r>
        <w:t>equilibrium</w:t>
      </w:r>
      <w:r>
        <w:rPr>
          <w:spacing w:val="-1"/>
        </w:rPr>
        <w:t xml:space="preserve"> </w:t>
      </w:r>
      <w:r>
        <w:t>and</w:t>
      </w:r>
      <w:r>
        <w:rPr>
          <w:spacing w:val="-4"/>
        </w:rPr>
        <w:t xml:space="preserve"> </w:t>
      </w:r>
      <w:r>
        <w:t>set</w:t>
      </w:r>
      <w:r>
        <w:rPr>
          <w:spacing w:val="-4"/>
        </w:rPr>
        <w:t xml:space="preserve"> </w:t>
      </w:r>
      <w:r>
        <w:t>of</w:t>
      </w:r>
      <w:r>
        <w:rPr>
          <w:spacing w:val="-2"/>
        </w:rPr>
        <w:t xml:space="preserve"> </w:t>
      </w:r>
      <w:r>
        <w:t>plasma</w:t>
      </w:r>
      <w:r>
        <w:rPr>
          <w:spacing w:val="-2"/>
        </w:rPr>
        <w:t xml:space="preserve"> </w:t>
      </w:r>
      <w:r>
        <w:t>profiles</w:t>
      </w:r>
      <w:r>
        <w:rPr>
          <w:spacing w:val="-2"/>
        </w:rPr>
        <w:t xml:space="preserve"> </w:t>
      </w:r>
      <w:r>
        <w:t>were</w:t>
      </w:r>
      <w:r>
        <w:rPr>
          <w:spacing w:val="-2"/>
        </w:rPr>
        <w:t xml:space="preserve"> </w:t>
      </w:r>
      <w:r>
        <w:t>used</w:t>
      </w:r>
      <w:r>
        <w:rPr>
          <w:spacing w:val="-2"/>
        </w:rPr>
        <w:t xml:space="preserve"> </w:t>
      </w:r>
      <w:r>
        <w:t xml:space="preserve">for this study? If so, I would think that </w:t>
      </w:r>
      <w:proofErr w:type="gramStart"/>
      <w:r>
        <w:t>all of</w:t>
      </w:r>
      <w:proofErr w:type="gramEnd"/>
      <w:r>
        <w:t xml:space="preserve"> the results would be sensitive to variations in the chosen</w:t>
      </w:r>
      <w:r>
        <w:rPr>
          <w:spacing w:val="-4"/>
        </w:rPr>
        <w:t xml:space="preserve"> </w:t>
      </w:r>
      <w:r>
        <w:t>equilibrium,</w:t>
      </w:r>
      <w:r>
        <w:rPr>
          <w:spacing w:val="-1"/>
        </w:rPr>
        <w:t xml:space="preserve"> </w:t>
      </w:r>
      <w:r>
        <w:t>but</w:t>
      </w:r>
      <w:r>
        <w:rPr>
          <w:spacing w:val="-3"/>
        </w:rPr>
        <w:t xml:space="preserve"> </w:t>
      </w:r>
      <w:r>
        <w:t>especially</w:t>
      </w:r>
      <w:r>
        <w:rPr>
          <w:spacing w:val="-3"/>
        </w:rPr>
        <w:t xml:space="preserve"> </w:t>
      </w:r>
      <w:r>
        <w:t>the</w:t>
      </w:r>
      <w:r>
        <w:rPr>
          <w:spacing w:val="-1"/>
        </w:rPr>
        <w:t xml:space="preserve"> </w:t>
      </w:r>
      <w:r>
        <w:t xml:space="preserve">RWM </w:t>
      </w:r>
      <w:proofErr w:type="spellStart"/>
      <w:r>
        <w:t>eigenstructure</w:t>
      </w:r>
      <w:proofErr w:type="spellEnd"/>
      <w:r>
        <w:rPr>
          <w:spacing w:val="-1"/>
        </w:rPr>
        <w:t xml:space="preserve"> </w:t>
      </w:r>
      <w:r>
        <w:t>and</w:t>
      </w:r>
      <w:r>
        <w:rPr>
          <w:spacing w:val="-3"/>
        </w:rPr>
        <w:t xml:space="preserve"> </w:t>
      </w:r>
      <w:r>
        <w:t>TAE</w:t>
      </w:r>
      <w:r>
        <w:rPr>
          <w:spacing w:val="-4"/>
        </w:rPr>
        <w:t xml:space="preserve"> </w:t>
      </w:r>
      <w:r>
        <w:t>growth/damping</w:t>
      </w:r>
      <w:r>
        <w:rPr>
          <w:spacing w:val="-2"/>
        </w:rPr>
        <w:t xml:space="preserve"> </w:t>
      </w:r>
      <w:r>
        <w:t>rates.</w:t>
      </w:r>
      <w:r>
        <w:rPr>
          <w:spacing w:val="-4"/>
        </w:rPr>
        <w:t xml:space="preserve"> </w:t>
      </w:r>
      <w:r>
        <w:t xml:space="preserve">For instance, there is at least one paper I’m aware of that found a very strong sensitivity of alpha- driven AEs to small variations in the q profile for ITER-like plasmas: </w:t>
      </w:r>
      <w:hyperlink r:id="rId9">
        <w:r>
          <w:rPr>
            <w:color w:val="0462C1"/>
            <w:u w:val="single" w:color="0462C1"/>
          </w:rPr>
          <w:t>http://dx.doi.org/10.1088/0029-5515/56/11/112006</w:t>
        </w:r>
      </w:hyperlink>
      <w:r>
        <w:t>. See for instance Fig 3. While I saw that varying the q profile was very briefly mentioned in the last paragraph as a possible avenue for future work, using a single equilibrium is in my mind one of the main limitations of this study, and so should be stated up</w:t>
      </w:r>
      <w:r>
        <w:rPr>
          <w:spacing w:val="-1"/>
        </w:rPr>
        <w:t xml:space="preserve"> </w:t>
      </w:r>
      <w:r>
        <w:t>front when the approach is described.</w:t>
      </w:r>
      <w:commentRangeStart w:id="12"/>
      <w:r>
        <w:t xml:space="preserve"> All the better if an additional section could be added that includes some sensitivity studies.</w:t>
      </w:r>
      <w:commentRangeEnd w:id="12"/>
      <w:r>
        <w:rPr>
          <w:rStyle w:val="CommentReference"/>
        </w:rPr>
        <w:commentReference w:id="12"/>
      </w:r>
    </w:p>
    <w:p w14:paraId="71D70C46" w14:textId="77777777" w:rsidR="00F770E7" w:rsidRDefault="00000000">
      <w:pPr>
        <w:pStyle w:val="ListParagraph"/>
        <w:numPr>
          <w:ilvl w:val="0"/>
          <w:numId w:val="3"/>
        </w:numPr>
        <w:tabs>
          <w:tab w:val="left" w:pos="818"/>
          <w:tab w:val="left" w:pos="820"/>
        </w:tabs>
        <w:spacing w:before="158" w:line="259" w:lineRule="auto"/>
        <w:ind w:right="238"/>
      </w:pPr>
      <w:commentRangeStart w:id="13"/>
      <w:r>
        <w:t>Something that</w:t>
      </w:r>
      <w:r>
        <w:rPr>
          <w:spacing w:val="-2"/>
        </w:rPr>
        <w:t xml:space="preserve"> </w:t>
      </w:r>
      <w:r>
        <w:t>was not</w:t>
      </w:r>
      <w:r>
        <w:rPr>
          <w:spacing w:val="-1"/>
        </w:rPr>
        <w:t xml:space="preserve"> </w:t>
      </w:r>
      <w:r>
        <w:t>addressed in this work</w:t>
      </w:r>
      <w:r>
        <w:rPr>
          <w:spacing w:val="-1"/>
        </w:rPr>
        <w:t xml:space="preserve"> </w:t>
      </w:r>
      <w:r>
        <w:t>was fast ion losses due</w:t>
      </w:r>
      <w:r>
        <w:rPr>
          <w:spacing w:val="-1"/>
        </w:rPr>
        <w:t xml:space="preserve"> </w:t>
      </w:r>
      <w:r>
        <w:t>to TF coil</w:t>
      </w:r>
      <w:r>
        <w:rPr>
          <w:spacing w:val="-2"/>
        </w:rPr>
        <w:t xml:space="preserve"> </w:t>
      </w:r>
      <w:r>
        <w:t>misalignment, which</w:t>
      </w:r>
      <w:r>
        <w:rPr>
          <w:spacing w:val="-3"/>
        </w:rPr>
        <w:t xml:space="preserve"> </w:t>
      </w:r>
      <w:r>
        <w:t>was</w:t>
      </w:r>
      <w:r>
        <w:rPr>
          <w:spacing w:val="-4"/>
        </w:rPr>
        <w:t xml:space="preserve"> </w:t>
      </w:r>
      <w:r>
        <w:t>found</w:t>
      </w:r>
      <w:r>
        <w:rPr>
          <w:spacing w:val="-2"/>
        </w:rPr>
        <w:t xml:space="preserve"> </w:t>
      </w:r>
      <w:r>
        <w:t>to be</w:t>
      </w:r>
      <w:r>
        <w:rPr>
          <w:spacing w:val="-3"/>
        </w:rPr>
        <w:t xml:space="preserve"> </w:t>
      </w:r>
      <w:r>
        <w:t>impactful</w:t>
      </w:r>
      <w:r>
        <w:rPr>
          <w:spacing w:val="-2"/>
        </w:rPr>
        <w:t xml:space="preserve"> </w:t>
      </w:r>
      <w:r>
        <w:t>on</w:t>
      </w:r>
      <w:r>
        <w:rPr>
          <w:spacing w:val="-4"/>
        </w:rPr>
        <w:t xml:space="preserve"> </w:t>
      </w:r>
      <w:r>
        <w:t>fast</w:t>
      </w:r>
      <w:r>
        <w:rPr>
          <w:spacing w:val="-1"/>
        </w:rPr>
        <w:t xml:space="preserve"> </w:t>
      </w:r>
      <w:r>
        <w:t>ion</w:t>
      </w:r>
      <w:r>
        <w:rPr>
          <w:spacing w:val="-2"/>
        </w:rPr>
        <w:t xml:space="preserve"> </w:t>
      </w:r>
      <w:r>
        <w:t>transport</w:t>
      </w:r>
      <w:r>
        <w:rPr>
          <w:spacing w:val="-6"/>
        </w:rPr>
        <w:t xml:space="preserve"> </w:t>
      </w:r>
      <w:r>
        <w:t>in</w:t>
      </w:r>
      <w:r>
        <w:rPr>
          <w:spacing w:val="-3"/>
        </w:rPr>
        <w:t xml:space="preserve"> </w:t>
      </w:r>
      <w:r>
        <w:t>a</w:t>
      </w:r>
      <w:r>
        <w:rPr>
          <w:spacing w:val="-1"/>
        </w:rPr>
        <w:t xml:space="preserve"> </w:t>
      </w:r>
      <w:r>
        <w:t>similar</w:t>
      </w:r>
      <w:r>
        <w:rPr>
          <w:spacing w:val="-4"/>
        </w:rPr>
        <w:t xml:space="preserve"> </w:t>
      </w:r>
      <w:r>
        <w:t>study</w:t>
      </w:r>
      <w:r>
        <w:rPr>
          <w:spacing w:val="-3"/>
        </w:rPr>
        <w:t xml:space="preserve"> </w:t>
      </w:r>
      <w:r>
        <w:t>of</w:t>
      </w:r>
      <w:r>
        <w:rPr>
          <w:spacing w:val="-3"/>
        </w:rPr>
        <w:t xml:space="preserve"> </w:t>
      </w:r>
      <w:r>
        <w:t>fast</w:t>
      </w:r>
      <w:r>
        <w:rPr>
          <w:spacing w:val="-1"/>
        </w:rPr>
        <w:t xml:space="preserve"> </w:t>
      </w:r>
      <w:r>
        <w:t>ion</w:t>
      </w:r>
      <w:r>
        <w:rPr>
          <w:spacing w:val="-5"/>
        </w:rPr>
        <w:t xml:space="preserve"> </w:t>
      </w:r>
      <w:r>
        <w:t>confinement in SPARC</w:t>
      </w:r>
      <w:commentRangeEnd w:id="13"/>
      <w:r w:rsidR="00536CB2">
        <w:rPr>
          <w:rStyle w:val="CommentReference"/>
        </w:rPr>
        <w:commentReference w:id="13"/>
      </w:r>
      <w:r>
        <w:t xml:space="preserve">: </w:t>
      </w:r>
      <w:hyperlink r:id="rId10">
        <w:r>
          <w:rPr>
            <w:color w:val="0462C1"/>
            <w:u w:val="single" w:color="0462C1"/>
          </w:rPr>
          <w:t>https://doi.org/10.1017/S0022377820001087</w:t>
        </w:r>
        <w:r>
          <w:t>.</w:t>
        </w:r>
      </w:hyperlink>
      <w:r>
        <w:t xml:space="preserve"> There is also a well-known, thorough study of fast ion confinement projections for ITER which came to a somewhat different conclusion than this STEP manuscript with respect to AE-induced transport: </w:t>
      </w:r>
      <w:hyperlink r:id="rId11">
        <w:r>
          <w:rPr>
            <w:color w:val="0462C1"/>
            <w:u w:val="single" w:color="0462C1"/>
          </w:rPr>
          <w:t>https://doi.org/10.1063/1.4908551</w:t>
        </w:r>
        <w:r>
          <w:t>.</w:t>
        </w:r>
      </w:hyperlink>
      <w:r>
        <w:t xml:space="preserve"> These differences could certainly be due to the different configurations in ITER vs STEP, but it could be interesting to comment on. In general, the</w:t>
      </w:r>
    </w:p>
    <w:p w14:paraId="71D70C47" w14:textId="77777777" w:rsidR="00F770E7" w:rsidRDefault="00F770E7">
      <w:pPr>
        <w:spacing w:line="259" w:lineRule="auto"/>
        <w:sectPr w:rsidR="00F770E7">
          <w:pgSz w:w="12240" w:h="15840"/>
          <w:pgMar w:top="1400" w:right="1340" w:bottom="280" w:left="1340" w:header="720" w:footer="720" w:gutter="0"/>
          <w:cols w:space="720"/>
        </w:sectPr>
      </w:pPr>
    </w:p>
    <w:p w14:paraId="71D70C48" w14:textId="77777777" w:rsidR="00F770E7" w:rsidRDefault="00000000">
      <w:pPr>
        <w:pStyle w:val="BodyText"/>
        <w:spacing w:before="39" w:line="259" w:lineRule="auto"/>
        <w:ind w:firstLine="0"/>
      </w:pPr>
      <w:r>
        <w:lastRenderedPageBreak/>
        <w:t xml:space="preserve">manuscript could be strengthened by </w:t>
      </w:r>
      <w:proofErr w:type="gramStart"/>
      <w:r>
        <w:t>comparing and contrasting</w:t>
      </w:r>
      <w:proofErr w:type="gramEnd"/>
      <w:r>
        <w:t xml:space="preserve"> its conclusions to similar studies</w:t>
      </w:r>
      <w:r>
        <w:rPr>
          <w:spacing w:val="-4"/>
        </w:rPr>
        <w:t xml:space="preserve"> </w:t>
      </w:r>
      <w:r>
        <w:t>of</w:t>
      </w:r>
      <w:r>
        <w:rPr>
          <w:spacing w:val="-2"/>
        </w:rPr>
        <w:t xml:space="preserve"> </w:t>
      </w:r>
      <w:r>
        <w:t>classical</w:t>
      </w:r>
      <w:r>
        <w:rPr>
          <w:spacing w:val="-2"/>
        </w:rPr>
        <w:t xml:space="preserve"> </w:t>
      </w:r>
      <w:r>
        <w:t>and</w:t>
      </w:r>
      <w:r>
        <w:rPr>
          <w:spacing w:val="-3"/>
        </w:rPr>
        <w:t xml:space="preserve"> </w:t>
      </w:r>
      <w:r>
        <w:t>anomalous</w:t>
      </w:r>
      <w:r>
        <w:rPr>
          <w:spacing w:val="-4"/>
        </w:rPr>
        <w:t xml:space="preserve"> </w:t>
      </w:r>
      <w:r>
        <w:t>confinement</w:t>
      </w:r>
      <w:r>
        <w:rPr>
          <w:spacing w:val="-4"/>
        </w:rPr>
        <w:t xml:space="preserve"> </w:t>
      </w:r>
      <w:r>
        <w:t>of</w:t>
      </w:r>
      <w:r>
        <w:rPr>
          <w:spacing w:val="-2"/>
        </w:rPr>
        <w:t xml:space="preserve"> </w:t>
      </w:r>
      <w:r>
        <w:t>fast</w:t>
      </w:r>
      <w:r>
        <w:rPr>
          <w:spacing w:val="-4"/>
        </w:rPr>
        <w:t xml:space="preserve"> </w:t>
      </w:r>
      <w:r>
        <w:t>ions</w:t>
      </w:r>
      <w:r>
        <w:rPr>
          <w:spacing w:val="-2"/>
        </w:rPr>
        <w:t xml:space="preserve"> </w:t>
      </w:r>
      <w:r>
        <w:t>in</w:t>
      </w:r>
      <w:r>
        <w:rPr>
          <w:spacing w:val="-4"/>
        </w:rPr>
        <w:t xml:space="preserve"> </w:t>
      </w:r>
      <w:r>
        <w:t>other</w:t>
      </w:r>
      <w:r>
        <w:rPr>
          <w:spacing w:val="-4"/>
        </w:rPr>
        <w:t xml:space="preserve"> </w:t>
      </w:r>
      <w:r>
        <w:t>reactor</w:t>
      </w:r>
      <w:r>
        <w:rPr>
          <w:spacing w:val="-4"/>
        </w:rPr>
        <w:t xml:space="preserve"> </w:t>
      </w:r>
      <w:r>
        <w:t>designs,</w:t>
      </w:r>
      <w:r>
        <w:rPr>
          <w:spacing w:val="-2"/>
        </w:rPr>
        <w:t xml:space="preserve"> </w:t>
      </w:r>
      <w:r>
        <w:t>if</w:t>
      </w:r>
      <w:r>
        <w:rPr>
          <w:spacing w:val="-2"/>
        </w:rPr>
        <w:t xml:space="preserve"> </w:t>
      </w:r>
      <w:r>
        <w:t>they</w:t>
      </w:r>
      <w:r>
        <w:rPr>
          <w:spacing w:val="-2"/>
        </w:rPr>
        <w:t xml:space="preserve"> </w:t>
      </w:r>
      <w:r>
        <w:t xml:space="preserve">are </w:t>
      </w:r>
      <w:r>
        <w:rPr>
          <w:spacing w:val="-2"/>
        </w:rPr>
        <w:t>available.</w:t>
      </w:r>
    </w:p>
    <w:p w14:paraId="71D70C49" w14:textId="77777777" w:rsidR="00F770E7" w:rsidRDefault="00000000">
      <w:pPr>
        <w:pStyle w:val="Heading1"/>
      </w:pPr>
      <w:r>
        <w:t>Less</w:t>
      </w:r>
      <w:r>
        <w:rPr>
          <w:spacing w:val="-6"/>
        </w:rPr>
        <w:t xml:space="preserve"> </w:t>
      </w:r>
      <w:r>
        <w:t>significant</w:t>
      </w:r>
      <w:r>
        <w:rPr>
          <w:spacing w:val="-5"/>
        </w:rPr>
        <w:t xml:space="preserve"> </w:t>
      </w:r>
      <w:r>
        <w:rPr>
          <w:spacing w:val="-2"/>
        </w:rPr>
        <w:t>comments</w:t>
      </w:r>
    </w:p>
    <w:p w14:paraId="71D70C4A" w14:textId="77777777" w:rsidR="00F770E7" w:rsidRDefault="00000000">
      <w:pPr>
        <w:pStyle w:val="ListParagraph"/>
        <w:numPr>
          <w:ilvl w:val="0"/>
          <w:numId w:val="2"/>
        </w:numPr>
        <w:tabs>
          <w:tab w:val="left" w:pos="818"/>
          <w:tab w:val="left" w:pos="820"/>
        </w:tabs>
        <w:spacing w:line="259" w:lineRule="auto"/>
        <w:ind w:right="225"/>
      </w:pPr>
      <w:commentRangeStart w:id="14"/>
      <w:r>
        <w:t xml:space="preserve">For </w:t>
      </w:r>
      <w:proofErr w:type="gramStart"/>
      <w:r>
        <w:t>all of</w:t>
      </w:r>
      <w:proofErr w:type="gramEnd"/>
      <w:r>
        <w:t xml:space="preserve"> the plots in the manuscript that show power fluxes, it could be useful to overlay horizontal</w:t>
      </w:r>
      <w:r>
        <w:rPr>
          <w:spacing w:val="-3"/>
        </w:rPr>
        <w:t xml:space="preserve"> </w:t>
      </w:r>
      <w:r>
        <w:t>lines</w:t>
      </w:r>
      <w:r>
        <w:rPr>
          <w:spacing w:val="-2"/>
        </w:rPr>
        <w:t xml:space="preserve"> </w:t>
      </w:r>
      <w:r>
        <w:t>that</w:t>
      </w:r>
      <w:r>
        <w:rPr>
          <w:spacing w:val="-6"/>
        </w:rPr>
        <w:t xml:space="preserve"> </w:t>
      </w:r>
      <w:r>
        <w:t>show</w:t>
      </w:r>
      <w:r>
        <w:rPr>
          <w:spacing w:val="-2"/>
        </w:rPr>
        <w:t xml:space="preserve"> </w:t>
      </w:r>
      <w:r>
        <w:t>the</w:t>
      </w:r>
      <w:r>
        <w:rPr>
          <w:spacing w:val="-1"/>
        </w:rPr>
        <w:t xml:space="preserve"> </w:t>
      </w:r>
      <w:r>
        <w:t>relevant</w:t>
      </w:r>
      <w:r>
        <w:rPr>
          <w:spacing w:val="-3"/>
        </w:rPr>
        <w:t xml:space="preserve"> </w:t>
      </w:r>
      <w:r>
        <w:t>acceptable</w:t>
      </w:r>
      <w:r>
        <w:rPr>
          <w:spacing w:val="-3"/>
        </w:rPr>
        <w:t xml:space="preserve"> </w:t>
      </w:r>
      <w:r>
        <w:t>threshold</w:t>
      </w:r>
      <w:r>
        <w:rPr>
          <w:spacing w:val="-5"/>
        </w:rPr>
        <w:t xml:space="preserve"> </w:t>
      </w:r>
      <w:r>
        <w:t>that</w:t>
      </w:r>
      <w:r>
        <w:rPr>
          <w:spacing w:val="-3"/>
        </w:rPr>
        <w:t xml:space="preserve"> </w:t>
      </w:r>
      <w:r>
        <w:t>was</w:t>
      </w:r>
      <w:r>
        <w:rPr>
          <w:spacing w:val="-3"/>
        </w:rPr>
        <w:t xml:space="preserve"> </w:t>
      </w:r>
      <w:r>
        <w:t>given</w:t>
      </w:r>
      <w:r>
        <w:rPr>
          <w:spacing w:val="-1"/>
        </w:rPr>
        <w:t xml:space="preserve"> </w:t>
      </w:r>
      <w:r>
        <w:t>in</w:t>
      </w:r>
      <w:r>
        <w:rPr>
          <w:spacing w:val="-5"/>
        </w:rPr>
        <w:t xml:space="preserve"> </w:t>
      </w:r>
      <w:r>
        <w:t>the</w:t>
      </w:r>
      <w:r>
        <w:rPr>
          <w:spacing w:val="-3"/>
        </w:rPr>
        <w:t xml:space="preserve"> </w:t>
      </w:r>
      <w:r>
        <w:t>introduction</w:t>
      </w:r>
      <w:commentRangeEnd w:id="14"/>
      <w:r w:rsidR="00C16FA0">
        <w:rPr>
          <w:rStyle w:val="CommentReference"/>
        </w:rPr>
        <w:commentReference w:id="14"/>
      </w:r>
      <w:r>
        <w:t>.</w:t>
      </w:r>
    </w:p>
    <w:p w14:paraId="71D70C4B" w14:textId="77777777" w:rsidR="00F770E7" w:rsidRDefault="00000000">
      <w:pPr>
        <w:pStyle w:val="ListParagraph"/>
        <w:numPr>
          <w:ilvl w:val="0"/>
          <w:numId w:val="2"/>
        </w:numPr>
        <w:tabs>
          <w:tab w:val="left" w:pos="818"/>
          <w:tab w:val="left" w:pos="820"/>
        </w:tabs>
        <w:spacing w:before="162" w:line="256" w:lineRule="auto"/>
        <w:ind w:right="158"/>
      </w:pPr>
      <w:r>
        <w:t>In</w:t>
      </w:r>
      <w:r>
        <w:rPr>
          <w:spacing w:val="-4"/>
        </w:rPr>
        <w:t xml:space="preserve"> </w:t>
      </w:r>
      <w:r>
        <w:t>section</w:t>
      </w:r>
      <w:r>
        <w:rPr>
          <w:spacing w:val="-3"/>
        </w:rPr>
        <w:t xml:space="preserve"> </w:t>
      </w:r>
      <w:r>
        <w:t>2.2.2,</w:t>
      </w:r>
      <w:r>
        <w:rPr>
          <w:spacing w:val="-4"/>
        </w:rPr>
        <w:t xml:space="preserve"> </w:t>
      </w:r>
      <w:r>
        <w:t>can</w:t>
      </w:r>
      <w:r>
        <w:rPr>
          <w:spacing w:val="-3"/>
        </w:rPr>
        <w:t xml:space="preserve"> </w:t>
      </w:r>
      <w:r>
        <w:t>you</w:t>
      </w:r>
      <w:r>
        <w:rPr>
          <w:spacing w:val="-3"/>
        </w:rPr>
        <w:t xml:space="preserve"> </w:t>
      </w:r>
      <w:r>
        <w:t>please</w:t>
      </w:r>
      <w:r>
        <w:rPr>
          <w:spacing w:val="-2"/>
        </w:rPr>
        <w:t xml:space="preserve"> </w:t>
      </w:r>
      <w:r>
        <w:t>define</w:t>
      </w:r>
      <w:r>
        <w:rPr>
          <w:spacing w:val="-2"/>
        </w:rPr>
        <w:t xml:space="preserve"> </w:t>
      </w:r>
      <w:r>
        <w:t>|b^1_res|?</w:t>
      </w:r>
      <w:r>
        <w:rPr>
          <w:spacing w:val="-2"/>
        </w:rPr>
        <w:t xml:space="preserve"> </w:t>
      </w:r>
      <w:r>
        <w:t>Is</w:t>
      </w:r>
      <w:r>
        <w:rPr>
          <w:spacing w:val="-2"/>
        </w:rPr>
        <w:t xml:space="preserve"> </w:t>
      </w:r>
      <w:r>
        <w:t>it</w:t>
      </w:r>
      <w:r>
        <w:rPr>
          <w:spacing w:val="-2"/>
        </w:rPr>
        <w:t xml:space="preserve"> </w:t>
      </w:r>
      <w:r>
        <w:t>simply</w:t>
      </w:r>
      <w:r>
        <w:rPr>
          <w:spacing w:val="-2"/>
        </w:rPr>
        <w:t xml:space="preserve"> </w:t>
      </w:r>
      <w:r>
        <w:t>delta</w:t>
      </w:r>
      <w:r>
        <w:rPr>
          <w:spacing w:val="-2"/>
        </w:rPr>
        <w:t xml:space="preserve"> </w:t>
      </w:r>
      <w:proofErr w:type="spellStart"/>
      <w:r>
        <w:t>Bperp</w:t>
      </w:r>
      <w:proofErr w:type="spellEnd"/>
      <w:r>
        <w:rPr>
          <w:spacing w:val="-6"/>
        </w:rPr>
        <w:t xml:space="preserve"> </w:t>
      </w:r>
      <w:r>
        <w:t>/</w:t>
      </w:r>
      <w:r>
        <w:rPr>
          <w:spacing w:val="-1"/>
        </w:rPr>
        <w:t xml:space="preserve"> </w:t>
      </w:r>
      <w:proofErr w:type="spellStart"/>
      <w:r>
        <w:t>Bperp</w:t>
      </w:r>
      <w:proofErr w:type="spellEnd"/>
      <w:r>
        <w:t>,</w:t>
      </w:r>
      <w:r>
        <w:rPr>
          <w:spacing w:val="-2"/>
        </w:rPr>
        <w:t xml:space="preserve"> </w:t>
      </w:r>
      <w:r>
        <w:t>or</w:t>
      </w:r>
      <w:r>
        <w:rPr>
          <w:spacing w:val="-2"/>
        </w:rPr>
        <w:t xml:space="preserve"> </w:t>
      </w:r>
      <w:r>
        <w:t xml:space="preserve">something </w:t>
      </w:r>
      <w:r>
        <w:rPr>
          <w:spacing w:val="-2"/>
        </w:rPr>
        <w:t>else?</w:t>
      </w:r>
    </w:p>
    <w:p w14:paraId="71D70C4C" w14:textId="77777777" w:rsidR="00F770E7" w:rsidRDefault="00000000">
      <w:pPr>
        <w:pStyle w:val="ListParagraph"/>
        <w:numPr>
          <w:ilvl w:val="0"/>
          <w:numId w:val="2"/>
        </w:numPr>
        <w:tabs>
          <w:tab w:val="left" w:pos="818"/>
          <w:tab w:val="left" w:pos="820"/>
        </w:tabs>
        <w:spacing w:before="164" w:line="259" w:lineRule="auto"/>
        <w:ind w:right="147"/>
      </w:pPr>
      <w:r>
        <w:t>In section 3, it is mentioned that the birth velocity of alpha particles is “nearly an order of magnitude</w:t>
      </w:r>
      <w:r>
        <w:rPr>
          <w:spacing w:val="-1"/>
        </w:rPr>
        <w:t xml:space="preserve"> </w:t>
      </w:r>
      <w:r>
        <w:t>higher</w:t>
      </w:r>
      <w:r>
        <w:rPr>
          <w:spacing w:val="-3"/>
        </w:rPr>
        <w:t xml:space="preserve"> </w:t>
      </w:r>
      <w:r>
        <w:t>than</w:t>
      </w:r>
      <w:r>
        <w:rPr>
          <w:spacing w:val="-3"/>
        </w:rPr>
        <w:t xml:space="preserve"> </w:t>
      </w:r>
      <w:r>
        <w:t>the</w:t>
      </w:r>
      <w:r>
        <w:rPr>
          <w:spacing w:val="-3"/>
        </w:rPr>
        <w:t xml:space="preserve"> </w:t>
      </w:r>
      <w:r>
        <w:t>typical</w:t>
      </w:r>
      <w:r>
        <w:rPr>
          <w:spacing w:val="-4"/>
        </w:rPr>
        <w:t xml:space="preserve"> </w:t>
      </w:r>
      <w:r>
        <w:t>values</w:t>
      </w:r>
      <w:r>
        <w:rPr>
          <w:spacing w:val="-3"/>
        </w:rPr>
        <w:t xml:space="preserve"> </w:t>
      </w:r>
      <w:r>
        <w:t>of</w:t>
      </w:r>
      <w:r>
        <w:rPr>
          <w:spacing w:val="-3"/>
        </w:rPr>
        <w:t xml:space="preserve"> </w:t>
      </w:r>
      <w:proofErr w:type="spellStart"/>
      <w:r>
        <w:t>cA</w:t>
      </w:r>
      <w:proofErr w:type="spellEnd"/>
      <w:r>
        <w:t>”</w:t>
      </w:r>
      <w:r>
        <w:rPr>
          <w:spacing w:val="-2"/>
        </w:rPr>
        <w:t xml:space="preserve"> </w:t>
      </w:r>
      <w:r>
        <w:t>in</w:t>
      </w:r>
      <w:r>
        <w:rPr>
          <w:spacing w:val="-3"/>
        </w:rPr>
        <w:t xml:space="preserve"> </w:t>
      </w:r>
      <w:r>
        <w:t>STEP.</w:t>
      </w:r>
      <w:r>
        <w:rPr>
          <w:spacing w:val="-1"/>
        </w:rPr>
        <w:t xml:space="preserve"> </w:t>
      </w:r>
      <w:r>
        <w:t>Would</w:t>
      </w:r>
      <w:r>
        <w:rPr>
          <w:spacing w:val="-3"/>
        </w:rPr>
        <w:t xml:space="preserve"> </w:t>
      </w:r>
      <w:r>
        <w:t>you</w:t>
      </w:r>
      <w:r>
        <w:rPr>
          <w:spacing w:val="-2"/>
        </w:rPr>
        <w:t xml:space="preserve"> </w:t>
      </w:r>
      <w:r>
        <w:t>please</w:t>
      </w:r>
      <w:r>
        <w:rPr>
          <w:spacing w:val="-1"/>
        </w:rPr>
        <w:t xml:space="preserve"> </w:t>
      </w:r>
      <w:r>
        <w:t>be</w:t>
      </w:r>
      <w:r>
        <w:rPr>
          <w:spacing w:val="-3"/>
        </w:rPr>
        <w:t xml:space="preserve"> </w:t>
      </w:r>
      <w:r>
        <w:t>more</w:t>
      </w:r>
      <w:r>
        <w:rPr>
          <w:spacing w:val="-1"/>
        </w:rPr>
        <w:t xml:space="preserve"> </w:t>
      </w:r>
      <w:r>
        <w:t>quantitative and quote a range of v/</w:t>
      </w:r>
      <w:proofErr w:type="spellStart"/>
      <w:r>
        <w:t>cA</w:t>
      </w:r>
      <w:proofErr w:type="spellEnd"/>
      <w:r>
        <w:t xml:space="preserve"> that is expected?</w:t>
      </w:r>
    </w:p>
    <w:p w14:paraId="71D70C4D" w14:textId="77777777" w:rsidR="00F770E7" w:rsidRDefault="00000000">
      <w:pPr>
        <w:pStyle w:val="Heading1"/>
      </w:pPr>
      <w:r>
        <w:t>Very</w:t>
      </w:r>
      <w:r>
        <w:rPr>
          <w:spacing w:val="-4"/>
        </w:rPr>
        <w:t xml:space="preserve"> </w:t>
      </w:r>
      <w:r>
        <w:t>minor</w:t>
      </w:r>
      <w:r>
        <w:rPr>
          <w:spacing w:val="-5"/>
        </w:rPr>
        <w:t xml:space="preserve"> </w:t>
      </w:r>
      <w:r>
        <w:rPr>
          <w:spacing w:val="-2"/>
        </w:rPr>
        <w:t>comments</w:t>
      </w:r>
    </w:p>
    <w:p w14:paraId="71D70C4E" w14:textId="77777777" w:rsidR="00F770E7" w:rsidRDefault="00000000">
      <w:pPr>
        <w:pStyle w:val="ListParagraph"/>
        <w:numPr>
          <w:ilvl w:val="0"/>
          <w:numId w:val="1"/>
        </w:numPr>
        <w:tabs>
          <w:tab w:val="left" w:pos="818"/>
        </w:tabs>
        <w:ind w:left="818" w:hanging="358"/>
      </w:pPr>
      <w:commentRangeStart w:id="15"/>
      <w:r>
        <w:t>Page</w:t>
      </w:r>
      <w:r>
        <w:rPr>
          <w:spacing w:val="-4"/>
        </w:rPr>
        <w:t xml:space="preserve"> </w:t>
      </w:r>
      <w:r>
        <w:t>2,</w:t>
      </w:r>
      <w:r>
        <w:rPr>
          <w:spacing w:val="-1"/>
        </w:rPr>
        <w:t xml:space="preserve"> </w:t>
      </w:r>
      <w:r>
        <w:t>typo</w:t>
      </w:r>
      <w:r>
        <w:rPr>
          <w:spacing w:val="-2"/>
        </w:rPr>
        <w:t xml:space="preserve"> “Section2”</w:t>
      </w:r>
      <w:commentRangeEnd w:id="15"/>
      <w:r w:rsidR="00951AEB">
        <w:rPr>
          <w:rStyle w:val="CommentReference"/>
        </w:rPr>
        <w:commentReference w:id="15"/>
      </w:r>
    </w:p>
    <w:p w14:paraId="71D70C4F" w14:textId="77777777" w:rsidR="00F770E7" w:rsidRDefault="00000000">
      <w:pPr>
        <w:pStyle w:val="ListParagraph"/>
        <w:numPr>
          <w:ilvl w:val="0"/>
          <w:numId w:val="1"/>
        </w:numPr>
        <w:tabs>
          <w:tab w:val="left" w:pos="818"/>
        </w:tabs>
        <w:spacing w:before="181"/>
        <w:ind w:left="818" w:hanging="358"/>
      </w:pPr>
      <w:commentRangeStart w:id="16"/>
      <w:r>
        <w:t>Page</w:t>
      </w:r>
      <w:r>
        <w:rPr>
          <w:spacing w:val="-4"/>
        </w:rPr>
        <w:t xml:space="preserve"> </w:t>
      </w:r>
      <w:r>
        <w:t>5,</w:t>
      </w:r>
      <w:r>
        <w:rPr>
          <w:spacing w:val="-3"/>
        </w:rPr>
        <w:t xml:space="preserve"> </w:t>
      </w:r>
      <w:r>
        <w:t>type</w:t>
      </w:r>
      <w:r>
        <w:rPr>
          <w:spacing w:val="-3"/>
        </w:rPr>
        <w:t xml:space="preserve"> </w:t>
      </w:r>
      <w:r>
        <w:t>“toroidal</w:t>
      </w:r>
      <w:r>
        <w:rPr>
          <w:spacing w:val="-2"/>
        </w:rPr>
        <w:t xml:space="preserve"> </w:t>
      </w:r>
      <w:r>
        <w:t>is</w:t>
      </w:r>
      <w:r>
        <w:rPr>
          <w:spacing w:val="-4"/>
        </w:rPr>
        <w:t xml:space="preserve"> </w:t>
      </w:r>
      <w:r>
        <w:t>mode</w:t>
      </w:r>
      <w:r>
        <w:rPr>
          <w:spacing w:val="-3"/>
        </w:rPr>
        <w:t xml:space="preserve"> </w:t>
      </w:r>
      <w:r>
        <w:t>large</w:t>
      </w:r>
      <w:r>
        <w:rPr>
          <w:spacing w:val="-3"/>
        </w:rPr>
        <w:t xml:space="preserve"> </w:t>
      </w:r>
      <w:r>
        <w:rPr>
          <w:spacing w:val="-2"/>
        </w:rPr>
        <w:t>enough”</w:t>
      </w:r>
      <w:commentRangeEnd w:id="16"/>
      <w:r w:rsidR="006D1392">
        <w:rPr>
          <w:rStyle w:val="CommentReference"/>
        </w:rPr>
        <w:commentReference w:id="16"/>
      </w:r>
    </w:p>
    <w:p w14:paraId="71D70C50" w14:textId="5890D6D5" w:rsidR="00F770E7" w:rsidRDefault="00000000">
      <w:pPr>
        <w:pStyle w:val="ListParagraph"/>
        <w:numPr>
          <w:ilvl w:val="0"/>
          <w:numId w:val="1"/>
        </w:numPr>
        <w:tabs>
          <w:tab w:val="left" w:pos="818"/>
          <w:tab w:val="left" w:pos="820"/>
        </w:tabs>
        <w:spacing w:before="182" w:line="259" w:lineRule="auto"/>
        <w:ind w:right="454"/>
      </w:pPr>
      <w:commentRangeStart w:id="17"/>
      <w:r>
        <w:t>The</w:t>
      </w:r>
      <w:r>
        <w:rPr>
          <w:spacing w:val="-2"/>
        </w:rPr>
        <w:t xml:space="preserve"> </w:t>
      </w:r>
      <w:r>
        <w:t>font</w:t>
      </w:r>
      <w:r>
        <w:rPr>
          <w:spacing w:val="-2"/>
        </w:rPr>
        <w:t xml:space="preserve"> </w:t>
      </w:r>
      <w:r>
        <w:t>size</w:t>
      </w:r>
      <w:r>
        <w:rPr>
          <w:spacing w:val="-4"/>
        </w:rPr>
        <w:t xml:space="preserve"> </w:t>
      </w:r>
      <w:r>
        <w:t>on</w:t>
      </w:r>
      <w:r>
        <w:rPr>
          <w:spacing w:val="-3"/>
        </w:rPr>
        <w:t xml:space="preserve"> </w:t>
      </w:r>
      <w:r>
        <w:t>some</w:t>
      </w:r>
      <w:r>
        <w:rPr>
          <w:spacing w:val="-4"/>
        </w:rPr>
        <w:t xml:space="preserve"> </w:t>
      </w:r>
      <w:r>
        <w:t>of</w:t>
      </w:r>
      <w:r>
        <w:rPr>
          <w:spacing w:val="-4"/>
        </w:rPr>
        <w:t xml:space="preserve"> </w:t>
      </w:r>
      <w:r>
        <w:t>the</w:t>
      </w:r>
      <w:r>
        <w:rPr>
          <w:spacing w:val="-2"/>
        </w:rPr>
        <w:t xml:space="preserve"> </w:t>
      </w:r>
      <w:r>
        <w:t>figure</w:t>
      </w:r>
      <w:r>
        <w:rPr>
          <w:spacing w:val="-2"/>
        </w:rPr>
        <w:t xml:space="preserve"> </w:t>
      </w:r>
      <w:r>
        <w:t>labels</w:t>
      </w:r>
      <w:r>
        <w:rPr>
          <w:spacing w:val="-5"/>
        </w:rPr>
        <w:t xml:space="preserve"> </w:t>
      </w:r>
      <w:r>
        <w:t>is</w:t>
      </w:r>
      <w:r>
        <w:rPr>
          <w:spacing w:val="-2"/>
        </w:rPr>
        <w:t xml:space="preserve"> </w:t>
      </w:r>
      <w:proofErr w:type="gramStart"/>
      <w:r>
        <w:t>fairly</w:t>
      </w:r>
      <w:r>
        <w:rPr>
          <w:spacing w:val="-2"/>
        </w:rPr>
        <w:t xml:space="preserve"> </w:t>
      </w:r>
      <w:r>
        <w:t>small</w:t>
      </w:r>
      <w:proofErr w:type="gramEnd"/>
      <w:r>
        <w:t>.</w:t>
      </w:r>
      <w:r>
        <w:rPr>
          <w:spacing w:val="-2"/>
        </w:rPr>
        <w:t xml:space="preserve"> </w:t>
      </w:r>
      <w:r>
        <w:t>I</w:t>
      </w:r>
      <w:r>
        <w:rPr>
          <w:spacing w:val="-2"/>
        </w:rPr>
        <w:t xml:space="preserve"> </w:t>
      </w:r>
      <w:r>
        <w:t>would</w:t>
      </w:r>
      <w:r>
        <w:rPr>
          <w:spacing w:val="-4"/>
        </w:rPr>
        <w:t xml:space="preserve"> </w:t>
      </w:r>
      <w:r>
        <w:t>recommend</w:t>
      </w:r>
      <w:r>
        <w:rPr>
          <w:spacing w:val="-4"/>
        </w:rPr>
        <w:t xml:space="preserve"> </w:t>
      </w:r>
      <w:r>
        <w:t>increasing</w:t>
      </w:r>
      <w:r>
        <w:rPr>
          <w:spacing w:val="-3"/>
        </w:rPr>
        <w:t xml:space="preserve"> </w:t>
      </w:r>
      <w:r>
        <w:t xml:space="preserve">these font sizes to improve </w:t>
      </w:r>
      <w:proofErr w:type="spellStart"/>
      <w:r>
        <w:t>legibility.</w:t>
      </w:r>
      <w:commentRangeEnd w:id="17"/>
      <w:r w:rsidR="006D1392">
        <w:rPr>
          <w:rStyle w:val="CommentReference"/>
        </w:rPr>
        <w:commentReference w:id="17"/>
      </w:r>
      <w:r w:rsidR="006D1392">
        <w:t>O</w:t>
      </w:r>
      <w:proofErr w:type="spellEnd"/>
    </w:p>
    <w:sectPr w:rsidR="00F770E7">
      <w:pgSz w:w="12240" w:h="15840"/>
      <w:pgMar w:top="1400" w:right="1340" w:bottom="280" w:left="13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Prokopyszyn, Alexander (STFC,RAL,HC)" w:date="2024-07-17T10:25:00Z" w:initials="PA(">
    <w:p w14:paraId="278E3EFD" w14:textId="77777777" w:rsidR="008B70A8" w:rsidRDefault="008B70A8" w:rsidP="008B70A8">
      <w:pPr>
        <w:pStyle w:val="CommentText"/>
      </w:pPr>
      <w:r>
        <w:rPr>
          <w:rStyle w:val="CommentReference"/>
        </w:rPr>
        <w:annotationRef/>
      </w:r>
      <w:r>
        <w:t>We need to rerun the results for a range of plasma scenarios.</w:t>
      </w:r>
    </w:p>
  </w:comment>
  <w:comment w:id="1" w:author="Prokopyszyn, Alexander (STFC,RAL,HC)" w:date="2024-07-18T12:53:00Z" w:initials="PA(">
    <w:p w14:paraId="750225B7" w14:textId="77777777" w:rsidR="009B357B" w:rsidRDefault="009B357B" w:rsidP="009B357B">
      <w:r>
        <w:rPr>
          <w:rStyle w:val="CommentReference"/>
        </w:rPr>
        <w:annotationRef/>
      </w:r>
      <w:r>
        <w:rPr>
          <w:color w:val="000000"/>
          <w:sz w:val="20"/>
          <w:szCs w:val="20"/>
        </w:rPr>
        <w:t>On second thoughts lets just make it clear that a single equilibrium is used but that changing q or the equilibrium can have a significant impact on the results and therefore constant checking of the alpha particle losses is needed throughout the design process.</w:t>
      </w:r>
    </w:p>
  </w:comment>
  <w:comment w:id="2" w:author="Prokopyszyn, Alexander (STFC,RAL,HC)" w:date="2024-07-17T10:26:00Z" w:initials="PA(">
    <w:p w14:paraId="0673D759" w14:textId="4A3A4A4E" w:rsidR="007507AC" w:rsidRDefault="007507AC" w:rsidP="007507AC">
      <w:pPr>
        <w:pStyle w:val="CommentText"/>
      </w:pPr>
      <w:r>
        <w:rPr>
          <w:rStyle w:val="CommentReference"/>
        </w:rPr>
        <w:annotationRef/>
      </w:r>
      <w:r>
        <w:t>Need to detail how the BPLASMA files are produced. Could mention the GitHub repository we use.</w:t>
      </w:r>
    </w:p>
  </w:comment>
  <w:comment w:id="3" w:author="Prokopyszyn, Alexander (STFC,RAL,HC)" w:date="2024-07-17T10:29:00Z" w:initials="PA(">
    <w:p w14:paraId="086D3A6E" w14:textId="77777777" w:rsidR="00134C40" w:rsidRDefault="00134C40" w:rsidP="00134C40">
      <w:pPr>
        <w:pStyle w:val="CommentText"/>
      </w:pPr>
      <w:r>
        <w:rPr>
          <w:rStyle w:val="CommentReference"/>
        </w:rPr>
        <w:annotationRef/>
      </w:r>
      <w:r>
        <w:t>That can be made easily.</w:t>
      </w:r>
    </w:p>
  </w:comment>
  <w:comment w:id="4" w:author="Prokopyszyn, Alexander (STFC,RAL,HC)" w:date="2024-07-17T10:30:00Z" w:initials="PA(">
    <w:p w14:paraId="3B7514BC" w14:textId="77777777" w:rsidR="00830096" w:rsidRDefault="00830096" w:rsidP="00830096">
      <w:pPr>
        <w:pStyle w:val="CommentText"/>
      </w:pPr>
      <w:r>
        <w:rPr>
          <w:rStyle w:val="CommentReference"/>
        </w:rPr>
        <w:annotationRef/>
      </w:r>
      <w:r>
        <w:t>We can add a table of values.</w:t>
      </w:r>
    </w:p>
  </w:comment>
  <w:comment w:id="5" w:author="Prokopyszyn, Alexander (STFC,RAL,HC)" w:date="2024-07-17T10:31:00Z" w:initials="PA(">
    <w:p w14:paraId="60AFDC60" w14:textId="77777777" w:rsidR="00AA61B3" w:rsidRDefault="00AA61B3" w:rsidP="00AA61B3">
      <w:pPr>
        <w:pStyle w:val="CommentText"/>
      </w:pPr>
      <w:r>
        <w:rPr>
          <w:rStyle w:val="CommentReference"/>
        </w:rPr>
        <w:annotationRef/>
      </w:r>
      <w:r>
        <w:t>Explain this in more detail. Reference the GitHub repo in the paper.</w:t>
      </w:r>
    </w:p>
  </w:comment>
  <w:comment w:id="6" w:author="Prokopyszyn, Alexander (STFC,RAL,HC)" w:date="2024-07-17T10:35:00Z" w:initials="PA(">
    <w:p w14:paraId="5EC7D881" w14:textId="77777777" w:rsidR="00F25DAF" w:rsidRDefault="00F25DAF" w:rsidP="00F25DAF">
      <w:pPr>
        <w:pStyle w:val="CommentText"/>
      </w:pPr>
      <w:r>
        <w:rPr>
          <w:rStyle w:val="CommentReference"/>
        </w:rPr>
        <w:annotationRef/>
      </w:r>
      <w:r>
        <w:t>Need to make it clear we use only one 3D field in each simulation.</w:t>
      </w:r>
    </w:p>
  </w:comment>
  <w:comment w:id="7" w:author="Prokopyszyn, Alexander (STFC,RAL,HC)" w:date="2024-07-17T10:35:00Z" w:initials="PA(">
    <w:p w14:paraId="1DD91BC7" w14:textId="77777777" w:rsidR="00F25DAF" w:rsidRDefault="00F25DAF" w:rsidP="00F25DAF">
      <w:pPr>
        <w:pStyle w:val="CommentText"/>
      </w:pPr>
      <w:r>
        <w:rPr>
          <w:rStyle w:val="CommentReference"/>
        </w:rPr>
        <w:annotationRef/>
      </w:r>
      <w:r>
        <w:t>We can run one simulation with all the 3D fields together.</w:t>
      </w:r>
    </w:p>
  </w:comment>
  <w:comment w:id="8" w:author="Prokopyszyn, Alexander (STFC,RAL,HC)" w:date="2024-07-17T10:37:00Z" w:initials="PA(">
    <w:p w14:paraId="6EC87523" w14:textId="77777777" w:rsidR="007D2936" w:rsidRDefault="004015E0" w:rsidP="007D2936">
      <w:pPr>
        <w:pStyle w:val="CommentText"/>
      </w:pPr>
      <w:r>
        <w:rPr>
          <w:rStyle w:val="CommentReference"/>
        </w:rPr>
        <w:annotationRef/>
      </w:r>
      <w:r w:rsidR="007D2936">
        <w:t>Need to define where s_theta = 0, maybe add arrow showing direction of increasing s_theta.</w:t>
      </w:r>
    </w:p>
  </w:comment>
  <w:comment w:id="9" w:author="Prokopyszyn, Alexander (STFC,RAL,HC)" w:date="2024-07-17T10:39:00Z" w:initials="PA(">
    <w:p w14:paraId="08FE3080" w14:textId="77777777" w:rsidR="007D2936" w:rsidRDefault="007D2936" w:rsidP="007D2936">
      <w:pPr>
        <w:pStyle w:val="CommentText"/>
      </w:pPr>
      <w:r>
        <w:rPr>
          <w:rStyle w:val="CommentReference"/>
        </w:rPr>
        <w:annotationRef/>
      </w:r>
      <w:r>
        <w:t>Lets remake Figure 5 with logarthmic scale.</w:t>
      </w:r>
    </w:p>
  </w:comment>
  <w:comment w:id="10" w:author="Prokopyszyn, Alexander (STFC,RAL,HC)" w:date="2024-07-17T10:38:00Z" w:initials="PA(">
    <w:p w14:paraId="56D20300" w14:textId="213C2928" w:rsidR="007D2936" w:rsidRDefault="007D2936" w:rsidP="007D2936">
      <w:pPr>
        <w:pStyle w:val="CommentText"/>
      </w:pPr>
      <w:r>
        <w:rPr>
          <w:rStyle w:val="CommentReference"/>
        </w:rPr>
        <w:annotationRef/>
      </w:r>
      <w:r>
        <w:t>I don’t know, lets just leave this.</w:t>
      </w:r>
    </w:p>
  </w:comment>
  <w:comment w:id="11" w:author="Prokopyszyn, Alexander (STFC,RAL,HC)" w:date="2024-07-17T10:43:00Z" w:initials="PA(">
    <w:p w14:paraId="61D55772" w14:textId="77777777" w:rsidR="00C546B9" w:rsidRDefault="00C546B9" w:rsidP="00C546B9">
      <w:pPr>
        <w:pStyle w:val="CommentText"/>
      </w:pPr>
      <w:r>
        <w:rPr>
          <w:rStyle w:val="CommentReference"/>
        </w:rPr>
        <w:annotationRef/>
      </w:r>
      <w:r>
        <w:t>Could make a DPLOT of markers that hit the two hotspots.</w:t>
      </w:r>
    </w:p>
  </w:comment>
  <w:comment w:id="12" w:author="Prokopyszyn, Alexander (STFC,RAL,HC)" w:date="2024-07-17T10:46:00Z" w:initials="PA(">
    <w:p w14:paraId="56757A0E" w14:textId="77777777" w:rsidR="00C534AE" w:rsidRDefault="00C534AE" w:rsidP="00C534AE">
      <w:pPr>
        <w:pStyle w:val="CommentText"/>
      </w:pPr>
      <w:r>
        <w:rPr>
          <w:rStyle w:val="CommentReference"/>
        </w:rPr>
        <w:annotationRef/>
      </w:r>
      <w:r>
        <w:t>We could add a sensitivity study.</w:t>
      </w:r>
    </w:p>
  </w:comment>
  <w:comment w:id="13" w:author="Prokopyszyn, Alexander (STFC,RAL,HC)" w:date="2024-07-17T10:46:00Z" w:initials="PA(">
    <w:p w14:paraId="35A732DE" w14:textId="77777777" w:rsidR="00536CB2" w:rsidRDefault="00536CB2" w:rsidP="00536CB2">
      <w:pPr>
        <w:pStyle w:val="CommentText"/>
      </w:pPr>
      <w:r>
        <w:rPr>
          <w:rStyle w:val="CommentReference"/>
        </w:rPr>
        <w:annotationRef/>
      </w:r>
      <w:r>
        <w:t>We can mention this paper in the future work secition.</w:t>
      </w:r>
    </w:p>
  </w:comment>
  <w:comment w:id="14" w:author="Prokopyszyn, Alexander (STFC,RAL,HC)" w:date="2024-07-17T10:48:00Z" w:initials="PA(">
    <w:p w14:paraId="25605174" w14:textId="77777777" w:rsidR="00C16FA0" w:rsidRDefault="00C16FA0" w:rsidP="00C16FA0">
      <w:pPr>
        <w:pStyle w:val="CommentText"/>
      </w:pPr>
      <w:r>
        <w:rPr>
          <w:rStyle w:val="CommentReference"/>
        </w:rPr>
        <w:annotationRef/>
      </w:r>
      <w:r>
        <w:t>Ok lets add horizontal lines for acceptable power flux.</w:t>
      </w:r>
    </w:p>
  </w:comment>
  <w:comment w:id="15" w:author="Prokopyszyn, Alexander (STFC,RAL,HC)" w:date="2024-07-17T10:49:00Z" w:initials="PA(">
    <w:p w14:paraId="4E50D9DD" w14:textId="77777777" w:rsidR="00951AEB" w:rsidRDefault="00951AEB" w:rsidP="00951AEB">
      <w:pPr>
        <w:pStyle w:val="CommentText"/>
      </w:pPr>
      <w:r>
        <w:rPr>
          <w:rStyle w:val="CommentReference"/>
        </w:rPr>
        <w:annotationRef/>
      </w:r>
      <w:r>
        <w:t>Fixed</w:t>
      </w:r>
    </w:p>
  </w:comment>
  <w:comment w:id="16" w:author="Prokopyszyn, Alexander (STFC,RAL,HC)" w:date="2024-07-17T10:50:00Z" w:initials="PA(">
    <w:p w14:paraId="6BD89CD9" w14:textId="77777777" w:rsidR="006D1392" w:rsidRDefault="006D1392" w:rsidP="006D1392">
      <w:pPr>
        <w:pStyle w:val="CommentText"/>
      </w:pPr>
      <w:r>
        <w:rPr>
          <w:rStyle w:val="CommentReference"/>
        </w:rPr>
        <w:annotationRef/>
      </w:r>
      <w:r>
        <w:t>I don’t understand.</w:t>
      </w:r>
    </w:p>
  </w:comment>
  <w:comment w:id="17" w:author="Prokopyszyn, Alexander (STFC,RAL,HC)" w:date="2024-07-17T10:50:00Z" w:initials="PA(">
    <w:p w14:paraId="478E980C" w14:textId="77777777" w:rsidR="006D1392" w:rsidRDefault="006D1392" w:rsidP="006D1392">
      <w:pPr>
        <w:pStyle w:val="CommentText"/>
      </w:pPr>
      <w:r>
        <w:rPr>
          <w:rStyle w:val="CommentReference"/>
        </w:rPr>
        <w:annotationRef/>
      </w:r>
      <w:r>
        <w:t>Ok lets increase the font size.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78E3EFD" w15:done="0"/>
  <w15:commentEx w15:paraId="750225B7" w15:paraIdParent="278E3EFD" w15:done="0"/>
  <w15:commentEx w15:paraId="0673D759" w15:done="0"/>
  <w15:commentEx w15:paraId="086D3A6E" w15:done="0"/>
  <w15:commentEx w15:paraId="3B7514BC" w15:done="0"/>
  <w15:commentEx w15:paraId="60AFDC60" w15:done="0"/>
  <w15:commentEx w15:paraId="5EC7D881" w15:done="0"/>
  <w15:commentEx w15:paraId="1DD91BC7" w15:done="0"/>
  <w15:commentEx w15:paraId="6EC87523" w15:done="0"/>
  <w15:commentEx w15:paraId="08FE3080" w15:done="0"/>
  <w15:commentEx w15:paraId="56D20300" w15:done="0"/>
  <w15:commentEx w15:paraId="61D55772" w15:done="0"/>
  <w15:commentEx w15:paraId="56757A0E" w15:done="0"/>
  <w15:commentEx w15:paraId="35A732DE" w15:done="0"/>
  <w15:commentEx w15:paraId="25605174" w15:done="0"/>
  <w15:commentEx w15:paraId="4E50D9DD" w15:done="0"/>
  <w15:commentEx w15:paraId="6BD89CD9" w15:done="0"/>
  <w15:commentEx w15:paraId="478E98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421A91" w16cex:dateUtc="2024-07-17T09:25:00Z"/>
  <w16cex:commentExtensible w16cex:durableId="3295B4B5" w16cex:dateUtc="2024-07-18T11:53:00Z"/>
  <w16cex:commentExtensible w16cex:durableId="2A421ABB" w16cex:dateUtc="2024-07-17T09:26:00Z"/>
  <w16cex:commentExtensible w16cex:durableId="2A421B9C" w16cex:dateUtc="2024-07-17T09:29:00Z"/>
  <w16cex:commentExtensible w16cex:durableId="2A421BB3" w16cex:dateUtc="2024-07-17T09:30:00Z"/>
  <w16cex:commentExtensible w16cex:durableId="2A421C12" w16cex:dateUtc="2024-07-17T09:31:00Z"/>
  <w16cex:commentExtensible w16cex:durableId="2A421CDA" w16cex:dateUtc="2024-07-17T09:35:00Z"/>
  <w16cex:commentExtensible w16cex:durableId="2A421D03" w16cex:dateUtc="2024-07-17T09:35:00Z"/>
  <w16cex:commentExtensible w16cex:durableId="2A421D78" w16cex:dateUtc="2024-07-17T09:37:00Z"/>
  <w16cex:commentExtensible w16cex:durableId="2A421DCA" w16cex:dateUtc="2024-07-17T09:39:00Z"/>
  <w16cex:commentExtensible w16cex:durableId="2A421DB4" w16cex:dateUtc="2024-07-17T09:38:00Z"/>
  <w16cex:commentExtensible w16cex:durableId="2A421EBA" w16cex:dateUtc="2024-07-17T09:43:00Z"/>
  <w16cex:commentExtensible w16cex:durableId="2A421F7A" w16cex:dateUtc="2024-07-17T09:46:00Z"/>
  <w16cex:commentExtensible w16cex:durableId="2A421FA0" w16cex:dateUtc="2024-07-17T09:46:00Z"/>
  <w16cex:commentExtensible w16cex:durableId="2A421FED" w16cex:dateUtc="2024-07-17T09:48:00Z"/>
  <w16cex:commentExtensible w16cex:durableId="2A422039" w16cex:dateUtc="2024-07-17T09:49:00Z"/>
  <w16cex:commentExtensible w16cex:durableId="2A42207C" w16cex:dateUtc="2024-07-17T09:50:00Z"/>
  <w16cex:commentExtensible w16cex:durableId="2A42208C" w16cex:dateUtc="2024-07-17T09: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78E3EFD" w16cid:durableId="2A421A91"/>
  <w16cid:commentId w16cid:paraId="750225B7" w16cid:durableId="3295B4B5"/>
  <w16cid:commentId w16cid:paraId="0673D759" w16cid:durableId="2A421ABB"/>
  <w16cid:commentId w16cid:paraId="086D3A6E" w16cid:durableId="2A421B9C"/>
  <w16cid:commentId w16cid:paraId="3B7514BC" w16cid:durableId="2A421BB3"/>
  <w16cid:commentId w16cid:paraId="60AFDC60" w16cid:durableId="2A421C12"/>
  <w16cid:commentId w16cid:paraId="5EC7D881" w16cid:durableId="2A421CDA"/>
  <w16cid:commentId w16cid:paraId="1DD91BC7" w16cid:durableId="2A421D03"/>
  <w16cid:commentId w16cid:paraId="6EC87523" w16cid:durableId="2A421D78"/>
  <w16cid:commentId w16cid:paraId="08FE3080" w16cid:durableId="2A421DCA"/>
  <w16cid:commentId w16cid:paraId="56D20300" w16cid:durableId="2A421DB4"/>
  <w16cid:commentId w16cid:paraId="61D55772" w16cid:durableId="2A421EBA"/>
  <w16cid:commentId w16cid:paraId="56757A0E" w16cid:durableId="2A421F7A"/>
  <w16cid:commentId w16cid:paraId="35A732DE" w16cid:durableId="2A421FA0"/>
  <w16cid:commentId w16cid:paraId="25605174" w16cid:durableId="2A421FED"/>
  <w16cid:commentId w16cid:paraId="4E50D9DD" w16cid:durableId="2A422039"/>
  <w16cid:commentId w16cid:paraId="6BD89CD9" w16cid:durableId="2A42207C"/>
  <w16cid:commentId w16cid:paraId="478E980C" w16cid:durableId="2A42208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D340BF"/>
    <w:multiLevelType w:val="hybridMultilevel"/>
    <w:tmpl w:val="4DE02420"/>
    <w:lvl w:ilvl="0" w:tplc="426A5898">
      <w:start w:val="1"/>
      <w:numFmt w:val="decimal"/>
      <w:lvlText w:val="%1."/>
      <w:lvlJc w:val="left"/>
      <w:pPr>
        <w:ind w:left="820" w:hanging="360"/>
        <w:jc w:val="left"/>
      </w:pPr>
      <w:rPr>
        <w:rFonts w:ascii="Calibri" w:eastAsia="Calibri" w:hAnsi="Calibri" w:cs="Calibri" w:hint="default"/>
        <w:b w:val="0"/>
        <w:bCs w:val="0"/>
        <w:i w:val="0"/>
        <w:iCs w:val="0"/>
        <w:spacing w:val="0"/>
        <w:w w:val="100"/>
        <w:sz w:val="22"/>
        <w:szCs w:val="22"/>
        <w:lang w:val="en-US" w:eastAsia="en-US" w:bidi="ar-SA"/>
      </w:rPr>
    </w:lvl>
    <w:lvl w:ilvl="1" w:tplc="362A5DBC">
      <w:numFmt w:val="bullet"/>
      <w:lvlText w:val="•"/>
      <w:lvlJc w:val="left"/>
      <w:pPr>
        <w:ind w:left="1694" w:hanging="360"/>
      </w:pPr>
      <w:rPr>
        <w:rFonts w:hint="default"/>
        <w:lang w:val="en-US" w:eastAsia="en-US" w:bidi="ar-SA"/>
      </w:rPr>
    </w:lvl>
    <w:lvl w:ilvl="2" w:tplc="60FC2170">
      <w:numFmt w:val="bullet"/>
      <w:lvlText w:val="•"/>
      <w:lvlJc w:val="left"/>
      <w:pPr>
        <w:ind w:left="2568" w:hanging="360"/>
      </w:pPr>
      <w:rPr>
        <w:rFonts w:hint="default"/>
        <w:lang w:val="en-US" w:eastAsia="en-US" w:bidi="ar-SA"/>
      </w:rPr>
    </w:lvl>
    <w:lvl w:ilvl="3" w:tplc="1A2C5D7E">
      <w:numFmt w:val="bullet"/>
      <w:lvlText w:val="•"/>
      <w:lvlJc w:val="left"/>
      <w:pPr>
        <w:ind w:left="3442" w:hanging="360"/>
      </w:pPr>
      <w:rPr>
        <w:rFonts w:hint="default"/>
        <w:lang w:val="en-US" w:eastAsia="en-US" w:bidi="ar-SA"/>
      </w:rPr>
    </w:lvl>
    <w:lvl w:ilvl="4" w:tplc="450680CA">
      <w:numFmt w:val="bullet"/>
      <w:lvlText w:val="•"/>
      <w:lvlJc w:val="left"/>
      <w:pPr>
        <w:ind w:left="4316" w:hanging="360"/>
      </w:pPr>
      <w:rPr>
        <w:rFonts w:hint="default"/>
        <w:lang w:val="en-US" w:eastAsia="en-US" w:bidi="ar-SA"/>
      </w:rPr>
    </w:lvl>
    <w:lvl w:ilvl="5" w:tplc="313636BE">
      <w:numFmt w:val="bullet"/>
      <w:lvlText w:val="•"/>
      <w:lvlJc w:val="left"/>
      <w:pPr>
        <w:ind w:left="5190" w:hanging="360"/>
      </w:pPr>
      <w:rPr>
        <w:rFonts w:hint="default"/>
        <w:lang w:val="en-US" w:eastAsia="en-US" w:bidi="ar-SA"/>
      </w:rPr>
    </w:lvl>
    <w:lvl w:ilvl="6" w:tplc="7848017E">
      <w:numFmt w:val="bullet"/>
      <w:lvlText w:val="•"/>
      <w:lvlJc w:val="left"/>
      <w:pPr>
        <w:ind w:left="6064" w:hanging="360"/>
      </w:pPr>
      <w:rPr>
        <w:rFonts w:hint="default"/>
        <w:lang w:val="en-US" w:eastAsia="en-US" w:bidi="ar-SA"/>
      </w:rPr>
    </w:lvl>
    <w:lvl w:ilvl="7" w:tplc="B5E004A8">
      <w:numFmt w:val="bullet"/>
      <w:lvlText w:val="•"/>
      <w:lvlJc w:val="left"/>
      <w:pPr>
        <w:ind w:left="6938" w:hanging="360"/>
      </w:pPr>
      <w:rPr>
        <w:rFonts w:hint="default"/>
        <w:lang w:val="en-US" w:eastAsia="en-US" w:bidi="ar-SA"/>
      </w:rPr>
    </w:lvl>
    <w:lvl w:ilvl="8" w:tplc="ED3E26C2">
      <w:numFmt w:val="bullet"/>
      <w:lvlText w:val="•"/>
      <w:lvlJc w:val="left"/>
      <w:pPr>
        <w:ind w:left="7812" w:hanging="360"/>
      </w:pPr>
      <w:rPr>
        <w:rFonts w:hint="default"/>
        <w:lang w:val="en-US" w:eastAsia="en-US" w:bidi="ar-SA"/>
      </w:rPr>
    </w:lvl>
  </w:abstractNum>
  <w:abstractNum w:abstractNumId="1" w15:restartNumberingAfterBreak="0">
    <w:nsid w:val="61FB330F"/>
    <w:multiLevelType w:val="hybridMultilevel"/>
    <w:tmpl w:val="FFBC723A"/>
    <w:lvl w:ilvl="0" w:tplc="BCBAC79C">
      <w:start w:val="1"/>
      <w:numFmt w:val="decimal"/>
      <w:lvlText w:val="%1."/>
      <w:lvlJc w:val="left"/>
      <w:pPr>
        <w:ind w:left="820" w:hanging="360"/>
        <w:jc w:val="left"/>
      </w:pPr>
      <w:rPr>
        <w:rFonts w:ascii="Calibri" w:eastAsia="Calibri" w:hAnsi="Calibri" w:cs="Calibri" w:hint="default"/>
        <w:b w:val="0"/>
        <w:bCs w:val="0"/>
        <w:i w:val="0"/>
        <w:iCs w:val="0"/>
        <w:spacing w:val="0"/>
        <w:w w:val="100"/>
        <w:sz w:val="22"/>
        <w:szCs w:val="22"/>
        <w:lang w:val="en-US" w:eastAsia="en-US" w:bidi="ar-SA"/>
      </w:rPr>
    </w:lvl>
    <w:lvl w:ilvl="1" w:tplc="44E6AC26">
      <w:numFmt w:val="bullet"/>
      <w:lvlText w:val="•"/>
      <w:lvlJc w:val="left"/>
      <w:pPr>
        <w:ind w:left="1694" w:hanging="360"/>
      </w:pPr>
      <w:rPr>
        <w:rFonts w:hint="default"/>
        <w:lang w:val="en-US" w:eastAsia="en-US" w:bidi="ar-SA"/>
      </w:rPr>
    </w:lvl>
    <w:lvl w:ilvl="2" w:tplc="B1443106">
      <w:numFmt w:val="bullet"/>
      <w:lvlText w:val="•"/>
      <w:lvlJc w:val="left"/>
      <w:pPr>
        <w:ind w:left="2568" w:hanging="360"/>
      </w:pPr>
      <w:rPr>
        <w:rFonts w:hint="default"/>
        <w:lang w:val="en-US" w:eastAsia="en-US" w:bidi="ar-SA"/>
      </w:rPr>
    </w:lvl>
    <w:lvl w:ilvl="3" w:tplc="FBB636DC">
      <w:numFmt w:val="bullet"/>
      <w:lvlText w:val="•"/>
      <w:lvlJc w:val="left"/>
      <w:pPr>
        <w:ind w:left="3442" w:hanging="360"/>
      </w:pPr>
      <w:rPr>
        <w:rFonts w:hint="default"/>
        <w:lang w:val="en-US" w:eastAsia="en-US" w:bidi="ar-SA"/>
      </w:rPr>
    </w:lvl>
    <w:lvl w:ilvl="4" w:tplc="0D20D450">
      <w:numFmt w:val="bullet"/>
      <w:lvlText w:val="•"/>
      <w:lvlJc w:val="left"/>
      <w:pPr>
        <w:ind w:left="4316" w:hanging="360"/>
      </w:pPr>
      <w:rPr>
        <w:rFonts w:hint="default"/>
        <w:lang w:val="en-US" w:eastAsia="en-US" w:bidi="ar-SA"/>
      </w:rPr>
    </w:lvl>
    <w:lvl w:ilvl="5" w:tplc="C2A6DA76">
      <w:numFmt w:val="bullet"/>
      <w:lvlText w:val="•"/>
      <w:lvlJc w:val="left"/>
      <w:pPr>
        <w:ind w:left="5190" w:hanging="360"/>
      </w:pPr>
      <w:rPr>
        <w:rFonts w:hint="default"/>
        <w:lang w:val="en-US" w:eastAsia="en-US" w:bidi="ar-SA"/>
      </w:rPr>
    </w:lvl>
    <w:lvl w:ilvl="6" w:tplc="78E671C8">
      <w:numFmt w:val="bullet"/>
      <w:lvlText w:val="•"/>
      <w:lvlJc w:val="left"/>
      <w:pPr>
        <w:ind w:left="6064" w:hanging="360"/>
      </w:pPr>
      <w:rPr>
        <w:rFonts w:hint="default"/>
        <w:lang w:val="en-US" w:eastAsia="en-US" w:bidi="ar-SA"/>
      </w:rPr>
    </w:lvl>
    <w:lvl w:ilvl="7" w:tplc="9D1E3128">
      <w:numFmt w:val="bullet"/>
      <w:lvlText w:val="•"/>
      <w:lvlJc w:val="left"/>
      <w:pPr>
        <w:ind w:left="6938" w:hanging="360"/>
      </w:pPr>
      <w:rPr>
        <w:rFonts w:hint="default"/>
        <w:lang w:val="en-US" w:eastAsia="en-US" w:bidi="ar-SA"/>
      </w:rPr>
    </w:lvl>
    <w:lvl w:ilvl="8" w:tplc="3E86E97C">
      <w:numFmt w:val="bullet"/>
      <w:lvlText w:val="•"/>
      <w:lvlJc w:val="left"/>
      <w:pPr>
        <w:ind w:left="7812" w:hanging="360"/>
      </w:pPr>
      <w:rPr>
        <w:rFonts w:hint="default"/>
        <w:lang w:val="en-US" w:eastAsia="en-US" w:bidi="ar-SA"/>
      </w:rPr>
    </w:lvl>
  </w:abstractNum>
  <w:abstractNum w:abstractNumId="2" w15:restartNumberingAfterBreak="0">
    <w:nsid w:val="675F02FE"/>
    <w:multiLevelType w:val="hybridMultilevel"/>
    <w:tmpl w:val="043604F0"/>
    <w:lvl w:ilvl="0" w:tplc="B1F44C70">
      <w:start w:val="1"/>
      <w:numFmt w:val="decimal"/>
      <w:lvlText w:val="%1."/>
      <w:lvlJc w:val="left"/>
      <w:pPr>
        <w:ind w:left="820" w:hanging="360"/>
        <w:jc w:val="left"/>
      </w:pPr>
      <w:rPr>
        <w:rFonts w:ascii="Calibri" w:eastAsia="Calibri" w:hAnsi="Calibri" w:cs="Calibri" w:hint="default"/>
        <w:b w:val="0"/>
        <w:bCs w:val="0"/>
        <w:i w:val="0"/>
        <w:iCs w:val="0"/>
        <w:spacing w:val="0"/>
        <w:w w:val="100"/>
        <w:sz w:val="22"/>
        <w:szCs w:val="22"/>
        <w:lang w:val="en-US" w:eastAsia="en-US" w:bidi="ar-SA"/>
      </w:rPr>
    </w:lvl>
    <w:lvl w:ilvl="1" w:tplc="F98277DC">
      <w:numFmt w:val="bullet"/>
      <w:lvlText w:val="•"/>
      <w:lvlJc w:val="left"/>
      <w:pPr>
        <w:ind w:left="1694" w:hanging="360"/>
      </w:pPr>
      <w:rPr>
        <w:rFonts w:hint="default"/>
        <w:lang w:val="en-US" w:eastAsia="en-US" w:bidi="ar-SA"/>
      </w:rPr>
    </w:lvl>
    <w:lvl w:ilvl="2" w:tplc="D73820A0">
      <w:numFmt w:val="bullet"/>
      <w:lvlText w:val="•"/>
      <w:lvlJc w:val="left"/>
      <w:pPr>
        <w:ind w:left="2568" w:hanging="360"/>
      </w:pPr>
      <w:rPr>
        <w:rFonts w:hint="default"/>
        <w:lang w:val="en-US" w:eastAsia="en-US" w:bidi="ar-SA"/>
      </w:rPr>
    </w:lvl>
    <w:lvl w:ilvl="3" w:tplc="E64EC5DC">
      <w:numFmt w:val="bullet"/>
      <w:lvlText w:val="•"/>
      <w:lvlJc w:val="left"/>
      <w:pPr>
        <w:ind w:left="3442" w:hanging="360"/>
      </w:pPr>
      <w:rPr>
        <w:rFonts w:hint="default"/>
        <w:lang w:val="en-US" w:eastAsia="en-US" w:bidi="ar-SA"/>
      </w:rPr>
    </w:lvl>
    <w:lvl w:ilvl="4" w:tplc="14D23DF8">
      <w:numFmt w:val="bullet"/>
      <w:lvlText w:val="•"/>
      <w:lvlJc w:val="left"/>
      <w:pPr>
        <w:ind w:left="4316" w:hanging="360"/>
      </w:pPr>
      <w:rPr>
        <w:rFonts w:hint="default"/>
        <w:lang w:val="en-US" w:eastAsia="en-US" w:bidi="ar-SA"/>
      </w:rPr>
    </w:lvl>
    <w:lvl w:ilvl="5" w:tplc="B202A30A">
      <w:numFmt w:val="bullet"/>
      <w:lvlText w:val="•"/>
      <w:lvlJc w:val="left"/>
      <w:pPr>
        <w:ind w:left="5190" w:hanging="360"/>
      </w:pPr>
      <w:rPr>
        <w:rFonts w:hint="default"/>
        <w:lang w:val="en-US" w:eastAsia="en-US" w:bidi="ar-SA"/>
      </w:rPr>
    </w:lvl>
    <w:lvl w:ilvl="6" w:tplc="67CA1B00">
      <w:numFmt w:val="bullet"/>
      <w:lvlText w:val="•"/>
      <w:lvlJc w:val="left"/>
      <w:pPr>
        <w:ind w:left="6064" w:hanging="360"/>
      </w:pPr>
      <w:rPr>
        <w:rFonts w:hint="default"/>
        <w:lang w:val="en-US" w:eastAsia="en-US" w:bidi="ar-SA"/>
      </w:rPr>
    </w:lvl>
    <w:lvl w:ilvl="7" w:tplc="1A86EBFC">
      <w:numFmt w:val="bullet"/>
      <w:lvlText w:val="•"/>
      <w:lvlJc w:val="left"/>
      <w:pPr>
        <w:ind w:left="6938" w:hanging="360"/>
      </w:pPr>
      <w:rPr>
        <w:rFonts w:hint="default"/>
        <w:lang w:val="en-US" w:eastAsia="en-US" w:bidi="ar-SA"/>
      </w:rPr>
    </w:lvl>
    <w:lvl w:ilvl="8" w:tplc="D50E3490">
      <w:numFmt w:val="bullet"/>
      <w:lvlText w:val="•"/>
      <w:lvlJc w:val="left"/>
      <w:pPr>
        <w:ind w:left="7812" w:hanging="360"/>
      </w:pPr>
      <w:rPr>
        <w:rFonts w:hint="default"/>
        <w:lang w:val="en-US" w:eastAsia="en-US" w:bidi="ar-SA"/>
      </w:rPr>
    </w:lvl>
  </w:abstractNum>
  <w:num w:numId="1" w16cid:durableId="41253345">
    <w:abstractNumId w:val="1"/>
  </w:num>
  <w:num w:numId="2" w16cid:durableId="943268329">
    <w:abstractNumId w:val="0"/>
  </w:num>
  <w:num w:numId="3" w16cid:durableId="21466240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rokopyszyn, Alexander (STFC,RAL,HC)">
    <w15:presenceInfo w15:providerId="AD" w15:userId="S::alexander.prokopyszyn@stfc.ac.uk::894d1d05-da37-4752-a241-80cead4293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770E7"/>
    <w:rsid w:val="00134C40"/>
    <w:rsid w:val="00174933"/>
    <w:rsid w:val="004015E0"/>
    <w:rsid w:val="00536CB2"/>
    <w:rsid w:val="006D1392"/>
    <w:rsid w:val="007507AC"/>
    <w:rsid w:val="007D2936"/>
    <w:rsid w:val="00830096"/>
    <w:rsid w:val="008B70A8"/>
    <w:rsid w:val="00951AEB"/>
    <w:rsid w:val="009B357B"/>
    <w:rsid w:val="00AA61B3"/>
    <w:rsid w:val="00C16FA0"/>
    <w:rsid w:val="00C3769B"/>
    <w:rsid w:val="00C534AE"/>
    <w:rsid w:val="00C546B9"/>
    <w:rsid w:val="00D6268E"/>
    <w:rsid w:val="00E94B4D"/>
    <w:rsid w:val="00F25DAF"/>
    <w:rsid w:val="00F770E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70C37"/>
  <w15:docId w15:val="{32726800-986C-47A3-8F23-8896F9AFE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60"/>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80"/>
      <w:ind w:left="820" w:right="153" w:hanging="360"/>
    </w:pPr>
  </w:style>
  <w:style w:type="paragraph" w:styleId="ListParagraph">
    <w:name w:val="List Paragraph"/>
    <w:basedOn w:val="Normal"/>
    <w:uiPriority w:val="1"/>
    <w:qFormat/>
    <w:pPr>
      <w:spacing w:before="180"/>
      <w:ind w:left="820" w:hanging="360"/>
    </w:p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8B70A8"/>
    <w:rPr>
      <w:sz w:val="16"/>
      <w:szCs w:val="16"/>
    </w:rPr>
  </w:style>
  <w:style w:type="paragraph" w:styleId="CommentText">
    <w:name w:val="annotation text"/>
    <w:basedOn w:val="Normal"/>
    <w:link w:val="CommentTextChar"/>
    <w:uiPriority w:val="99"/>
    <w:unhideWhenUsed/>
    <w:rsid w:val="008B70A8"/>
    <w:rPr>
      <w:sz w:val="20"/>
      <w:szCs w:val="20"/>
    </w:rPr>
  </w:style>
  <w:style w:type="character" w:customStyle="1" w:styleId="CommentTextChar">
    <w:name w:val="Comment Text Char"/>
    <w:basedOn w:val="DefaultParagraphFont"/>
    <w:link w:val="CommentText"/>
    <w:uiPriority w:val="99"/>
    <w:rsid w:val="008B70A8"/>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8B70A8"/>
    <w:rPr>
      <w:b/>
      <w:bCs/>
    </w:rPr>
  </w:style>
  <w:style w:type="character" w:customStyle="1" w:styleId="CommentSubjectChar">
    <w:name w:val="Comment Subject Char"/>
    <w:basedOn w:val="CommentTextChar"/>
    <w:link w:val="CommentSubject"/>
    <w:uiPriority w:val="99"/>
    <w:semiHidden/>
    <w:rsid w:val="008B70A8"/>
    <w:rPr>
      <w:rFonts w:ascii="Calibri" w:eastAsia="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doi.org/10.1063/1.4908551" TargetMode="External"/><Relationship Id="rId5" Type="http://schemas.openxmlformats.org/officeDocument/2006/relationships/comments" Target="comments.xml"/><Relationship Id="rId10" Type="http://schemas.openxmlformats.org/officeDocument/2006/relationships/hyperlink" Target="https://doi.org/10.1017/S0022377820001087" TargetMode="External"/><Relationship Id="rId4" Type="http://schemas.openxmlformats.org/officeDocument/2006/relationships/webSettings" Target="webSettings.xml"/><Relationship Id="rId9" Type="http://schemas.openxmlformats.org/officeDocument/2006/relationships/hyperlink" Target="http://dx.doi.org/10.1088/0029-5515/56/11/11200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1257</Words>
  <Characters>7168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Prokopyszyn, Alexander (STFC,RAL,HC)</cp:lastModifiedBy>
  <cp:revision>17</cp:revision>
  <dcterms:created xsi:type="dcterms:W3CDTF">2024-07-17T09:23:00Z</dcterms:created>
  <dcterms:modified xsi:type="dcterms:W3CDTF">2024-08-01T15:59:00Z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igent">
    <vt:lpwstr>AppendPDF Pro 6.0 Linux Kernel 2.6 64bit May 18 2016 Library 10.1.0</vt:lpwstr>
  </property>
  <property fmtid="{D5CDD505-2E9C-101B-9397-08002B2CF9AE}" pid="3" name="Created">
    <vt:filetime>2024-05-12T00:00:00Z</vt:filetime>
  </property>
  <property fmtid="{D5CDD505-2E9C-101B-9397-08002B2CF9AE}" pid="4" name="Creator">
    <vt:lpwstr>Appligent AppendPDF Pro 6.0</vt:lpwstr>
  </property>
  <property fmtid="{D5CDD505-2E9C-101B-9397-08002B2CF9AE}" pid="5" name="LastSaved">
    <vt:filetime>2024-07-17T00:00:00Z</vt:filetime>
  </property>
  <property fmtid="{D5CDD505-2E9C-101B-9397-08002B2CF9AE}" pid="6" name="Producer">
    <vt:lpwstr>Microsoft® Word 2021</vt:lpwstr>
  </property>
</Properties>
</file>