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UntraceX Corporate Briefing</w:t>
      </w:r>
    </w:p>
    <w:p>
      <w:r>
        <w:t>This corporate briefing was prepared for review.</w:t>
      </w:r>
      <w:r>
        <w:br/>
        <w:t>All internal document properties like author and revision can be inspected on the side.</w:t>
      </w:r>
    </w:p>
    <w:p>
      <w:pPr>
        <w:pStyle w:val="Heading1"/>
      </w:pPr>
      <w:r>
        <w:t>Key Findings</w:t>
      </w:r>
    </w:p>
    <w:p>
      <w:r>
        <w:t>1. Document properties frequently leak employee identities.</w:t>
      </w:r>
    </w:p>
    <w:p>
      <w:r>
        <w:t>2. UntraceX allows targeted metadata purging.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Internal Corporate Briefing</dc:subject>
  <dc:creator/>
  <cp:keywords>finance, confidential, strategy, internal-only</cp:keywords>
  <dc:description>Reviewed by Compliance Team</dc:description>
  <cp:lastModifiedBy>Rebecca Hughes</cp:lastModifiedBy>
  <cp:revision>7</cp:revision>
  <dcterms:created xsi:type="dcterms:W3CDTF">2013-12-23T23:15:00Z</dcterms:created>
  <dcterms:modified xsi:type="dcterms:W3CDTF">2013-12-23T23:15:00Z</dcterms:modified>
  <cp:category/>
</cp:coreProperties>
</file>