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Digital Strategy Briefing</w:t>
      </w:r>
    </w:p>
    <w:p>
      <w:r>
        <w:t>Python is a high-level programming language that is widely used for software development.</w:t>
      </w:r>
    </w:p>
    <w:p>
      <w:r>
        <w:t>It provides a simple and readable syntax and supports multiple programming paradigms.</w:t>
      </w:r>
    </w:p>
    <w:p>
      <w:r>
        <w:t>It is important to remember that our technical infrastructure plays a crucial role in operational excellence.</w:t>
      </w:r>
    </w:p>
    <w:p>
      <w:r>
        <w:t>In conclusion, the engineering team must navigate the complexities of digital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 Executive Strategy</dc:title>
  <dc:subject>Internal Corporate Briefing</dc:subject>
  <dc:creator>Jonathan Sterling</dc:creator>
  <cp:keywords>finance, confidential, strategy, internal-only</cp:keywords>
  <dc:description>Reviewed by Compliance Team</dc:description>
  <cp:lastModifiedBy>Rebecca Hughes</cp:lastModifiedBy>
  <cp:revision>7</cp:revision>
  <dcterms:created xsi:type="dcterms:W3CDTF">2013-12-23T23:15:00Z</dcterms:created>
  <dcterms:modified xsi:type="dcterms:W3CDTF">2013-12-23T23:15:00Z</dcterms:modified>
  <cp:category/>
</cp:coreProperties>
</file>