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83B53"/>
          <w:sz w:val="28"/>
        </w:rPr>
        <w:t>GeoMart / GeoHub — Architecture and Operation Flows</w:t>
      </w:r>
    </w:p>
    <w:p>
      <w:pPr>
        <w:spacing w:after="0"/>
        <w:jc w:val="center"/>
      </w:pPr>
      <w:r>
        <w:rPr>
          <w:i/>
          <w:sz w:val="15"/>
        </w:rPr>
        <w:t>Original architecture diagram with plain-language explanation of each operation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6396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art_original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6396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b/>
          <w:color w:val="007078"/>
          <w:sz w:val="18"/>
        </w:rPr>
        <w:t>How each path works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shd w:fill="173B5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A. Custom IntegrationConfig — Create and Modify</w:t>
            </w:r>
          </w:p>
        </w:tc>
        <w:tc>
          <w:tcPr>
            <w:tcW w:type="dxa" w:w="7128"/>
            <w:shd w:fill="173B5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B. Application operations — Aggregation, Enable and Disable</w:t>
            </w:r>
          </w:p>
        </w:tc>
      </w:tr>
      <w:tr>
        <w:tc>
          <w:tcPr>
            <w:tcW w:type="dxa" w:w="7128"/>
            <w:shd w:fill="F2F6F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007078"/>
                <w:sz w:val="13"/>
              </w:rPr>
              <w:t>CREATE ACCOUNT</w:t>
            </w:r>
            <w:r>
              <w:br/>
            </w:r>
            <w:r>
              <w:rPr>
                <w:rFonts w:ascii="Arial" w:hAnsi="Arial"/>
                <w:sz w:val="13"/>
              </w:rPr>
              <w:t>Before: IIQ prepares the user's details and requested license.</w:t>
            </w:r>
            <w:r>
              <w:br/>
            </w:r>
            <w:r>
              <w:rPr>
                <w:rFonts w:ascii="Arial" w:hAnsi="Arial"/>
                <w:sz w:val="13"/>
              </w:rPr>
              <w:t>Flow: The custom executor prepares the request; the Web Services connector calls GeoMart/GeoHub.</w:t>
            </w:r>
            <w:r>
              <w:br/>
            </w:r>
            <w:r>
              <w:rPr>
                <w:rFonts w:ascii="Arial" w:hAnsi="Arial"/>
                <w:sz w:val="13"/>
              </w:rPr>
              <w:t>After: The account is created and the result is returned to IIQ.</w:t>
            </w:r>
            <w:r>
              <w:br/>
            </w:r>
            <w:r>
              <w:rPr>
                <w:rFonts w:ascii="Arial" w:hAnsi="Arial"/>
                <w:sz w:val="13"/>
              </w:rPr>
            </w:r>
            <w:r>
              <w:br/>
            </w:r>
            <w:r>
              <w:rPr>
                <w:rFonts w:ascii="Arial" w:hAnsi="Arial"/>
                <w:b/>
                <w:color w:val="007078"/>
                <w:sz w:val="13"/>
              </w:rPr>
              <w:t>MODIFY ACCOUNT / LICENSE</w:t>
            </w:r>
            <w:r>
              <w:br/>
            </w:r>
            <w:r>
              <w:rPr>
                <w:rFonts w:ascii="Arial" w:hAnsi="Arial"/>
                <w:sz w:val="13"/>
              </w:rPr>
              <w:t>Before: IIQ sends changed details or a new license request.</w:t>
            </w:r>
            <w:r>
              <w:br/>
            </w:r>
            <w:r>
              <w:rPr>
                <w:rFonts w:ascii="Arial" w:hAnsi="Arial"/>
                <w:sz w:val="13"/>
              </w:rPr>
              <w:t>Flow: The custom executor prepares the update and sends it through the connector.</w:t>
            </w:r>
            <w:r>
              <w:br/>
            </w:r>
            <w:r>
              <w:rPr>
                <w:rFonts w:ascii="Arial" w:hAnsi="Arial"/>
                <w:sz w:val="13"/>
              </w:rPr>
              <w:t>After: Account details are updated; the latest requested license replaces the existing license.</w:t>
            </w:r>
          </w:p>
        </w:tc>
        <w:tc>
          <w:tcPr>
            <w:tcW w:type="dxa" w:w="7128"/>
            <w:shd w:fill="F2F6F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007078"/>
                <w:sz w:val="13"/>
              </w:rPr>
              <w:t>ACCOUNT AGGREGATION</w:t>
            </w:r>
            <w:r>
              <w:br/>
            </w:r>
            <w:r>
              <w:rPr>
                <w:rFonts w:ascii="Arial" w:hAnsi="Arial"/>
                <w:sz w:val="13"/>
              </w:rPr>
              <w:t>Before: IIQ starts an account refresh. Flow: The connector requests the user list. After: Account details return to IIQ and are linked to identities.</w:t>
            </w:r>
            <w:r>
              <w:br/>
            </w:r>
            <w:r>
              <w:rPr>
                <w:rFonts w:ascii="Arial" w:hAnsi="Arial"/>
                <w:sz w:val="13"/>
              </w:rPr>
            </w:r>
            <w:r>
              <w:br/>
            </w:r>
            <w:r>
              <w:rPr>
                <w:rFonts w:ascii="Arial" w:hAnsi="Arial"/>
                <w:b/>
                <w:color w:val="007078"/>
                <w:sz w:val="13"/>
              </w:rPr>
              <w:t>LICENSE / ENTITLEMENT AGGREGATION</w:t>
            </w:r>
            <w:r>
              <w:br/>
            </w:r>
            <w:r>
              <w:rPr>
                <w:rFonts w:ascii="Arial" w:hAnsi="Arial"/>
                <w:sz w:val="13"/>
              </w:rPr>
              <w:t>Before: IIQ starts a license refresh. Flow: The connector requests available license types. After: License details refresh IIQ's entitlement list.</w:t>
            </w:r>
            <w:r>
              <w:br/>
            </w:r>
            <w:r>
              <w:rPr>
                <w:rFonts w:ascii="Arial" w:hAnsi="Arial"/>
                <w:sz w:val="13"/>
              </w:rPr>
            </w:r>
            <w:r>
              <w:br/>
            </w:r>
            <w:r>
              <w:rPr>
                <w:rFonts w:ascii="Arial" w:hAnsi="Arial"/>
                <w:b/>
                <w:color w:val="007078"/>
                <w:sz w:val="13"/>
              </w:rPr>
              <w:t>ENABLE / DISABLE ACCOUNT</w:t>
            </w:r>
            <w:r>
              <w:br/>
            </w:r>
            <w:r>
              <w:rPr>
                <w:rFonts w:ascii="Arial" w:hAnsi="Arial"/>
                <w:sz w:val="13"/>
              </w:rPr>
              <w:t>Before: IIQ sends a state-change request. Flow: The connector calls the enable or disable API. After: The account state changes and the API result returns to IIQ.</w:t>
            </w:r>
          </w:p>
        </w:tc>
      </w:tr>
    </w:tbl>
    <w:p>
      <w:pPr>
        <w:spacing w:before="20" w:after="0"/>
      </w:pPr>
      <w:r>
        <w:rPr>
          <w:i/>
          <w:sz w:val="13"/>
        </w:rPr>
        <w:t>Key behavior: Removing the final license disables the account. Adding a license to a disabled account enables it. IIQ should check the API response before recording success.</w:t>
      </w:r>
    </w:p>
    <w:sectPr w:rsidR="00FC693F" w:rsidRPr="0006063C" w:rsidSect="00034616">
      <w:footerReference w:type="default" r:id="rId10"/>
      <w:pgSz w:w="15840" w:h="12240" w:orient="landscape"/>
      <w:pgMar w:top="403" w:right="547" w:bottom="360" w:left="547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2"/>
      </w:rPr>
      <w:t>GeoMart / GeoHub • Plain-language architecture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