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Times New Roman" w:hAnsi="Times New Roman" w:eastAsia="Times New Roman"/>
          <w:b/>
          <w:color w:val="000000"/>
          <w:sz w:val="32"/>
        </w:rPr>
        <w:t>ĐẶC TẢ NGHIỆP VỤ HỆ THỐNG THƯ VIỆN HUIT</w:t>
      </w:r>
    </w:p>
    <w:p>
      <w:pPr>
        <w:spacing w:after="200"/>
        <w:jc w:val="both"/>
      </w:pPr>
      <w:r>
        <w:rPr>
          <w:rFonts w:ascii="Times New Roman" w:hAnsi="Times New Roman" w:eastAsia="Times New Roman"/>
          <w:color w:val="000000"/>
          <w:sz w:val="22"/>
        </w:rPr>
        <w:t>Tài liệu này mô tả phạm vi nghiệp vụ chính thức của đồ án. Chức năng đặt phòng học và xử lý vi phạm phòng đã được loại khỏi phạm vi. Quét mã QR tại quầy do thủ thư thực hiện là yêu cầu bắt buộc của nghiệp vụ mượn trả. Các mã BUC được giữ nguyên để bảo toàn truy vết lịch sử, vì vậy tài liệu có thể không liên tục về số hiệu.</w:t>
      </w:r>
    </w:p>
    <w:p>
      <w:pPr>
        <w:keepNext/>
        <w:spacing w:before="200" w:after="80"/>
        <w:jc w:val="left"/>
      </w:pPr>
      <w:r>
        <w:rPr>
          <w:rFonts w:ascii="Times New Roman" w:hAnsi="Times New Roman" w:eastAsia="Times New Roman"/>
          <w:b/>
          <w:color w:val="000000"/>
          <w:sz w:val="22"/>
        </w:rPr>
        <w:t>Bảng 1  Đặc tả yêu cầu chức năng Đăng ký làm thẻ và sử dụng thư viện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BUC01</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Đăng ký làm thẻ và sử dụng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Cấp và quản lý quyền sử dụng thư viện cho sinh viên và cán bộ theo tài khoản, thẻ thư viện và vai trò.</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Người sử dụng, Tổ công tác</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Người sử dụng chưa có thẻ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Quản trị viên hoặc cán bộ có quyền ghi nhận hồ sơ người dùng và vai trò.</w:t>
              <w:br/>
              <w:t>2. Hệ thống kiểm tra dữ liệu bắt buộc, trạng thái thẻ và thời hạn sử dụng.</w:t>
              <w:br/>
              <w:t>3. Người dùng đăng nhập, đổi mật khẩu, khôi phục mật khẩu và cập nhật hồ sơ cá nhân.</w:t>
              <w:br/>
              <w:t>4. Các nghiệp vụ nộp hoặc hoàn tiền thế chân nâng cao được tạm hoãn cho đến khi có xác nhận của giảng viên hướng dẫn.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Người sử dụng được cấp thẻ có thời hạn 1 năm và kích hoạt quyền mượn.</w:t>
            </w:r>
          </w:p>
        </w:tc>
      </w:tr>
    </w:tbl>
    <w:p/>
    <w:p>
      <w:pPr>
        <w:keepNext/>
        <w:spacing w:before="200" w:after="80"/>
        <w:jc w:val="left"/>
      </w:pPr>
      <w:r>
        <w:rPr>
          <w:rFonts w:ascii="Times New Roman" w:hAnsi="Times New Roman" w:eastAsia="Times New Roman"/>
          <w:b/>
          <w:color w:val="000000"/>
          <w:sz w:val="22"/>
        </w:rPr>
        <w:t>Bảng 2  Đặc tả yêu cầu chức năng Phục vụ mượn tài liệu về nhà hoặc Đọc tại chỗ</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BUC02</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Phục vụ mượn tài liệu về nhà hoặc Đọc tại chỗ</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Lập phiếu mượn mang tài liệu ra khỏi thư viện hoặc đọc tại phòng.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Người sử dụng, 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Người sử dụng có thẻ thư viện hợp lệ đã được kích hoạt.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Người dùng tra cứu và đặt giữ tài liệu còn bản sẵn sàng.</w:t>
              <w:br/>
              <w:t>2. Khi mượn tại quầy, thủ thư đăng nhập bằng vai trò LIBRARIAN và quét QR thẻ sinh viên hoặc QR phiếu mượn để nhận diện hồ sơ.</w:t>
              <w:br/>
              <w:t>3. Hệ thống kiểm tra trạng thái thẻ, sách quá hạn, khoản nợ, giới hạn tối đa ba tài liệu và điều kiện mỗi đầu sách chỉ có một bản đang mượn.</w:t>
              <w:br/>
              <w:t>4. Thủ thư quét barcode bản sao và xác nhận checkout. Hệ thống cập nhật phiếu, chi tiết mượn và trạng thái bản sao trong cùng một giao dịch.</w:t>
              <w:br/>
              <w:t>5. Thời hạn mượn mặc định là mười ngày. Người dùng được gia hạn tối đa hai lần, mỗi lần mười ngày, khi tài liệu chưa quá hạn và không có người chờ.</w:t>
              <w:br/>
              <w:t>6. Kiosk tự phục vụ không thuộc phạm vi bắt buộc.</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Phiếu mượn được tạo đúng người dùng, đúng bản sao và đúng giới hạn nghiệp vụ.</w:t>
            </w:r>
          </w:p>
        </w:tc>
      </w:tr>
    </w:tbl>
    <w:p/>
    <w:p>
      <w:pPr>
        <w:keepNext/>
        <w:spacing w:before="200" w:after="80"/>
        <w:jc w:val="left"/>
      </w:pPr>
      <w:r>
        <w:rPr>
          <w:rFonts w:ascii="Times New Roman" w:hAnsi="Times New Roman" w:eastAsia="Times New Roman"/>
          <w:b/>
          <w:color w:val="000000"/>
          <w:sz w:val="22"/>
        </w:rPr>
        <w:t>Bảng 3  Đặc tả yêu cầu chức năng Phục vụ trả tài liệu và xử lý vi phạm</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BUC03</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Phục vụ trả tài liệu và xử lý vi phạm</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Thu hồi tài liệu và xử lý các trường hợp quá hạn, hư hỏng, mất mát.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Người sử dụng, Tổ công tác</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Người sử dụng đang mượn tài liệu.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Thủ thư quét QR thẻ sinh viên hoặc phiếu mượn để mở đúng hồ sơ đang mượn, sau đó quét barcode tài liệu trả.</w:t>
              <w:br/>
              <w:t>2. Hệ thống đối chiếu ngày trả, ngày đến hạn và trạng thái chi tiết mượn.</w:t>
              <w:br/>
              <w:t>3. Nếu quá hạn, hệ thống tính tiền phạt tối thiểu 1.000 đồng mỗi ngày cho mỗi tài liệu theo quy định đã chốt.</w:t>
              <w:br/>
              <w:t>4. Thủ thư ghi nhận tình trạng tài liệu khi trả. Tài liệu hư hỏng được chuyển sang bảo trì; tài liệu bình thường trở về trạng thái sẵn sàng.</w:t>
              <w:br/>
              <w:t>5. Trường hợp mất hoặc hư hỏng nặng được lập khoản bồi thường và lưu bằng chứng xử lý.</w:t>
              <w:br/>
              <w:t>6. Hệ thống cập nhật phiếu mượn, bản sao, khoản phạt và thông báo trong cùng một luồng nghiệp vụ có thể truy vết.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Tài liệu được thu hồi, trạng thái kho và khoản phạt được cập nhật nhất quán.</w:t>
            </w:r>
          </w:p>
        </w:tc>
      </w:tr>
    </w:tbl>
    <w:p/>
    <w:p>
      <w:pPr>
        <w:keepNext/>
        <w:spacing w:before="200" w:after="80"/>
        <w:jc w:val="left"/>
      </w:pPr>
      <w:r>
        <w:rPr>
          <w:rFonts w:ascii="Times New Roman" w:hAnsi="Times New Roman" w:eastAsia="Times New Roman"/>
          <w:b/>
          <w:color w:val="000000"/>
          <w:sz w:val="22"/>
        </w:rPr>
        <w:t>Bảng 4  Đặc tả yêu cầu chức năng Thu và hoàn tiền thế chân</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BUC05</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Thu và hoàn tiền thế chân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dòng tiền đặt cọc tối thiểu 100.000 VNĐ của người sử dụng.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Người sử dụng, Kế toán, Thủ quỹ</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Người sử dụng có yêu cầu hoàn tiền hoặc đóng tiền thế chân.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Kế toán thu tiền thế chân theo mức tối thiểu hoặc theo nhu cầu mượn sách của độc giả và xuất biên lai. Độc giả có thể nộp thêm tiền thế chân để tăng hạn mức mượn sách, tuy nhiên tổng số dư tiền thế chân không được vượt quá mức trần do thư viện quy định.</w:t>
              <w:br/>
              <w:t>2. Nếu hoàn tiền thế chân, Người sử dụng xuất trình biên lai gốc.</w:t>
              <w:br/>
              <w:t>3. Hệ thống kiểm tra điều kiện rút tiền: không còn nợ sách. Nếu nợ tiền phạt lớn hơn số dư tiền thế chân, độc giả phải thanh toán phần chênh lệch trước khi được hoàn cọc.</w:t>
              <w:br/>
              <w:t>4. Kế toán lập phiếu xuất quỹ cấn trừ tiền phạt nếu có. Thủ quỹ kiểm tra, duyệt phiếu và chi trả tiền mặt. Độc giả có thể rút bớt tiền cọc để duy trì tài khoản (miễn là còn đủ mức tối thiểu), hoặc rút toàn bộ và Hủy thẻ.</w:t>
              <w:br/>
              <w:t>5. Đối soát thanh toán: Hệ thống tích hợp luồng quét đối soát (Reconciliation) định kỳ cho các giao dịch nạp cọc trực tuyến để xử lý lỗi rớt mạng.</w:t>
            </w:r>
          </w:p>
          <w:p>
            <w:pPr>
              <w:spacing w:after="0" w:line="259" w:lineRule="auto"/>
            </w:pPr>
            <w:r>
              <w:rPr>
                <w:rFonts w:ascii="Times New Roman" w:hAnsi="Times New Roman" w:eastAsia="Times New Roman"/>
                <w:b w:val="0"/>
                <w:color w:val="000000"/>
                <w:sz w:val="21"/>
              </w:rPr>
              <w:t>37. Hệ thống tự động liên kết giao dịch hoàn tiền (Refund) bằng khóa ngoại tự chiếu về đúng giao dịch nộp tiền (Deposit) gốc để ngăn chặn vĩnh viễn hành vi dùng một biên lai gốc rút tiền nhiều lần.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Tiền thế chân được thu và hoàn với sự kiểm soát kép.</w:t>
            </w:r>
          </w:p>
        </w:tc>
      </w:tr>
    </w:tbl>
    <w:p/>
    <w:p>
      <w:pPr>
        <w:keepNext/>
        <w:spacing w:before="200" w:after="80"/>
        <w:jc w:val="left"/>
      </w:pPr>
      <w:r>
        <w:rPr>
          <w:rFonts w:ascii="Times New Roman" w:hAnsi="Times New Roman" w:eastAsia="Times New Roman"/>
          <w:b/>
          <w:color w:val="000000"/>
          <w:sz w:val="22"/>
        </w:rPr>
        <w:t>Bảng 5  Đặc tả yêu cầu chức năng Quản lý nhập sách và Phiếu nhập kho</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BUC06</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nhập sách và Phiếu nhập kho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Lập phiếu nhập, quản lý nhà cung cấp và thông tin sách mới.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Có sách mới từ nhà cung cấp cần nhập kho.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Cán bộ thư viện chọn hoặc thêm Nhà cung cấp và tạo Phiếu nhập kho trên hệ thống.</w:t>
            </w:r>
          </w:p>
          <w:p>
            <w:pPr>
              <w:spacing w:after="0" w:line="259" w:lineRule="auto"/>
            </w:pPr>
            <w:r>
              <w:rPr>
                <w:rFonts w:ascii="Times New Roman" w:hAnsi="Times New Roman" w:eastAsia="Times New Roman"/>
                <w:b w:val="0"/>
                <w:color w:val="000000"/>
                <w:sz w:val="21"/>
              </w:rPr>
              <w:t>2. Nhập thông tin sách, phân bổ vị trí lưu trữ chi tiết đến Khu vực, Tầng, Kệ, Ngăn.</w:t>
            </w:r>
          </w:p>
          <w:p>
            <w:pPr>
              <w:spacing w:after="0" w:line="259" w:lineRule="auto"/>
            </w:pPr>
            <w:r>
              <w:rPr>
                <w:rFonts w:ascii="Times New Roman" w:hAnsi="Times New Roman" w:eastAsia="Times New Roman"/>
                <w:b w:val="0"/>
                <w:color w:val="000000"/>
                <w:sz w:val="21"/>
              </w:rPr>
              <w:t>3. Hệ thống sinh mã vạch. Cán bộ dán nhãn phân loại tùy loại tài liệu.</w:t>
            </w:r>
          </w:p>
          <w:p>
            <w:pPr>
              <w:spacing w:after="0" w:line="259" w:lineRule="auto"/>
            </w:pPr>
            <w:r>
              <w:rPr>
                <w:rFonts w:ascii="Times New Roman" w:hAnsi="Times New Roman" w:eastAsia="Times New Roman"/>
                <w:b w:val="0"/>
                <w:color w:val="000000"/>
                <w:sz w:val="21"/>
              </w:rPr>
              <w:t>4. Cập nhật số lượng tồn kho tự động dựa trên Phiếu nhập.</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Sách được nhập kho có truy xuất nguồn gốc và vị trí chính xác.</w:t>
            </w:r>
          </w:p>
        </w:tc>
      </w:tr>
    </w:tbl>
    <w:p/>
    <w:p>
      <w:pPr>
        <w:keepNext/>
        <w:spacing w:before="200" w:after="80"/>
        <w:jc w:val="left"/>
      </w:pPr>
      <w:r>
        <w:rPr>
          <w:rFonts w:ascii="Times New Roman" w:hAnsi="Times New Roman" w:eastAsia="Times New Roman"/>
          <w:b/>
          <w:color w:val="000000"/>
          <w:sz w:val="22"/>
        </w:rPr>
        <w:t>Bảng 6  Đặc tả yêu cầu chức năng Quản lý đối soát và báo cáo tài chính</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BUC07</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đối soát và báo cáo tài chính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Tạm hoãn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các khoản thu, khoản đã thu và khoản xử phạt trong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Kế toán, Thủ quỹ</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Cán bộ quản lý tài chính đăng nhập hệ thống.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Kế toán trích xuất dữ liệu giao dịch từ hệ thống.</w:t>
            </w:r>
          </w:p>
          <w:p>
            <w:pPr>
              <w:spacing w:after="0" w:line="259" w:lineRule="auto"/>
            </w:pPr>
            <w:r>
              <w:rPr>
                <w:rFonts w:ascii="Times New Roman" w:hAnsi="Times New Roman" w:eastAsia="Times New Roman"/>
                <w:b w:val="0"/>
                <w:color w:val="000000"/>
                <w:sz w:val="21"/>
              </w:rPr>
              <w:t>2. Hệ thống hiển thị chi tiết các khoản thu lệ phí, thế chân, phạt, chi hoàn cọc.</w:t>
            </w:r>
          </w:p>
          <w:p>
            <w:pPr>
              <w:spacing w:after="0" w:line="259" w:lineRule="auto"/>
            </w:pPr>
            <w:r>
              <w:rPr>
                <w:rFonts w:ascii="Times New Roman" w:hAnsi="Times New Roman" w:eastAsia="Times New Roman"/>
                <w:b w:val="0"/>
                <w:color w:val="000000"/>
                <w:sz w:val="21"/>
              </w:rPr>
              <w:t>3. Kế toán đối chiếu thực tế và lập báo cáo tài chính.</w:t>
            </w:r>
          </w:p>
          <w:p>
            <w:pPr>
              <w:spacing w:after="0" w:line="259" w:lineRule="auto"/>
            </w:pPr>
            <w:r>
              <w:rPr>
                <w:rFonts w:ascii="Times New Roman" w:hAnsi="Times New Roman" w:eastAsia="Times New Roman"/>
                <w:b w:val="0"/>
                <w:color w:val="000000"/>
                <w:sz w:val="21"/>
              </w:rPr>
              <w:t>4. Thủ quỹ kiểm tra chéo và xác nhận chốt sổ.</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Dòng tiền được kiểm soát chặt chẽ.</w:t>
            </w:r>
          </w:p>
        </w:tc>
      </w:tr>
    </w:tbl>
    <w:p/>
    <w:p>
      <w:pPr>
        <w:keepNext/>
        <w:spacing w:before="200" w:after="80"/>
        <w:jc w:val="left"/>
      </w:pPr>
      <w:r>
        <w:rPr>
          <w:rFonts w:ascii="Times New Roman" w:hAnsi="Times New Roman" w:eastAsia="Times New Roman"/>
          <w:b/>
          <w:color w:val="000000"/>
          <w:sz w:val="22"/>
        </w:rPr>
        <w:t>Bảng 7  Đặc tả yêu cầu chức năng Nhắc hạn và cảnh báo quá hạn trả sách</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BUC08</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Nhắc hạn và cảnh báo quá hạn trả sách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Gửi thông báo nhắc nhở hạn trả sách và cảnh báo qua ứng dụng.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 Người sử dụng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Người sử dụng đang mượn sách sắp đến hạn hoặc quá hạn.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Hệ thống kiểm tra danh sách mượn hàng ngày.</w:t>
            </w:r>
          </w:p>
          <w:p>
            <w:pPr>
              <w:spacing w:after="0" w:line="259" w:lineRule="auto"/>
            </w:pPr>
            <w:r>
              <w:rPr>
                <w:rFonts w:ascii="Times New Roman" w:hAnsi="Times New Roman" w:eastAsia="Times New Roman"/>
                <w:b w:val="0"/>
                <w:color w:val="000000"/>
                <w:sz w:val="21"/>
              </w:rPr>
              <w:t>2. Gửi nhắc nhở trước hạn và thông báo thu hồi đột xuất qua thông báo đẩy trên Ứng dụng di động.</w:t>
            </w:r>
          </w:p>
          <w:p>
            <w:pPr>
              <w:spacing w:after="0" w:line="259" w:lineRule="auto"/>
            </w:pPr>
            <w:r>
              <w:rPr>
                <w:rFonts w:ascii="Times New Roman" w:hAnsi="Times New Roman" w:eastAsia="Times New Roman"/>
                <w:b w:val="0"/>
                <w:color w:val="000000"/>
                <w:sz w:val="21"/>
              </w:rPr>
              <w:t>3. Quá hạn ba mươi ngày, hệ thống lập danh sách cấn trừ tiền thế chân. Nếu tiền thế chân không đủ, hệ thống tự động chuyển hồ sơ cho Phòng Công tác sinh viên, Phòng Đào tạo Sau Đại học, Phòng Tổ chức, hoặc đưa vào danh sách đen tùy theo đối tượng người sử dụng.</w:t>
            </w:r>
          </w:p>
          <w:p>
            <w:pPr>
              <w:spacing w:after="0" w:line="259" w:lineRule="auto"/>
            </w:pPr>
            <w:r>
              <w:rPr>
                <w:rFonts w:ascii="Times New Roman" w:hAnsi="Times New Roman" w:eastAsia="Times New Roman"/>
                <w:b w:val="0"/>
                <w:color w:val="000000"/>
                <w:sz w:val="21"/>
              </w:rPr>
              <w:t>4. Gửi biên lai điện tử thông báo trừ tiền.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Độc giả nhận thông báo kịp thời trên mọi nền tảng.</w:t>
            </w:r>
          </w:p>
        </w:tc>
      </w:tr>
    </w:tbl>
    <w:p/>
    <w:p>
      <w:pPr>
        <w:keepNext/>
        <w:spacing w:before="200" w:after="80"/>
        <w:jc w:val="left"/>
      </w:pPr>
      <w:r>
        <w:rPr>
          <w:rFonts w:ascii="Times New Roman" w:hAnsi="Times New Roman" w:eastAsia="Times New Roman"/>
          <w:b/>
          <w:color w:val="000000"/>
          <w:sz w:val="22"/>
        </w:rPr>
        <w:t>Bảng 8  Đặc tả yêu cầu chức năng Quản lý sách điện tử và tài liệu số</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BUC09</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sách điện tử và tài liệu số</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Quản lý xuất bản, lưu trữ và phân quyền truy cập tài liệu số hóa.</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Cán bộ thư viện, Người sử dụng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Thư viện có tài liệu số hoặc sách điện tử cần phát hành.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Cán bộ khai báo thông tin nền tài liệu số, tải tệp đính kèm hoặc gắn đường dẫn truy cập ngoài.</w:t>
            </w:r>
          </w:p>
          <w:p>
            <w:pPr>
              <w:spacing w:after="0" w:line="259" w:lineRule="auto"/>
            </w:pPr>
            <w:r>
              <w:rPr>
                <w:rFonts w:ascii="Times New Roman" w:hAnsi="Times New Roman" w:eastAsia="Times New Roman"/>
                <w:b w:val="0"/>
                <w:color w:val="000000"/>
                <w:sz w:val="21"/>
              </w:rPr>
              <w:t>2. Thiết lập trạng thái phát hành là Công khai hoặc Nội bộ và cấu hình phân quyền xem tải.</w:t>
            </w:r>
          </w:p>
          <w:p>
            <w:pPr>
              <w:spacing w:after="0" w:line="259" w:lineRule="auto"/>
            </w:pPr>
            <w:r>
              <w:rPr>
                <w:rFonts w:ascii="Times New Roman" w:hAnsi="Times New Roman" w:eastAsia="Times New Roman"/>
                <w:b w:val="0"/>
                <w:color w:val="000000"/>
                <w:sz w:val="21"/>
              </w:rPr>
              <w:t>3. Hệ thống áp dụng mã hóa bảo vệ bản quyền, khóa quyền tải xuống đối với tài liệu lưu hành nội bộ, chỉ cho phép tải đối với tài liệu nguồn mở để tuân thủ Luật sở hữu trí tuệ.</w:t>
            </w:r>
          </w:p>
          <w:p>
            <w:pPr>
              <w:spacing w:after="0" w:line="259" w:lineRule="auto"/>
            </w:pPr>
            <w:r>
              <w:rPr>
                <w:rFonts w:ascii="Times New Roman" w:hAnsi="Times New Roman" w:eastAsia="Times New Roman"/>
                <w:b w:val="0"/>
                <w:color w:val="000000"/>
                <w:sz w:val="21"/>
              </w:rPr>
              <w:t>4. Người sử dụng có quyền hợp lệ tìm kiếm và đọc tài liệu ngay trên thiết bị tin học.</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Tài liệu số được lưu, phát hành và truy cập theo quyền đã cấu hình.</w:t>
            </w:r>
          </w:p>
        </w:tc>
      </w:tr>
    </w:tbl>
    <w:p/>
    <w:p>
      <w:pPr>
        <w:keepNext/>
        <w:spacing w:before="200" w:after="80"/>
        <w:jc w:val="left"/>
      </w:pPr>
      <w:r>
        <w:rPr>
          <w:rFonts w:ascii="Times New Roman" w:hAnsi="Times New Roman" w:eastAsia="Times New Roman"/>
          <w:b/>
          <w:color w:val="000000"/>
          <w:sz w:val="22"/>
        </w:rPr>
        <w:t>Bảng 9  Đặc tả yêu cầu chức năng Đề xuất thêm sách bổ sung</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BUC10</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Đề xuất thêm sách bổ sung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Gửi yêu cầu mua đầu sách chưa có thông qua trang thông tin.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Người sử dụng, 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Người sử dụng có nhu cầu đọc sách ngoài danh mục.</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Người sử dụng điền biểu mẫu đề xuất trên trang thông tin.</w:t>
            </w:r>
          </w:p>
          <w:p>
            <w:pPr>
              <w:spacing w:after="0" w:line="259" w:lineRule="auto"/>
            </w:pPr>
            <w:r>
              <w:rPr>
                <w:rFonts w:ascii="Times New Roman" w:hAnsi="Times New Roman" w:eastAsia="Times New Roman"/>
                <w:b w:val="0"/>
                <w:color w:val="000000"/>
                <w:sz w:val="21"/>
              </w:rPr>
              <w:t>2. Hệ thống ghi nhận, chuyển cán bộ xem xét và tổng hợp.</w:t>
            </w:r>
          </w:p>
          <w:p>
            <w:pPr>
              <w:spacing w:after="0" w:line="259" w:lineRule="auto"/>
            </w:pPr>
            <w:r>
              <w:rPr>
                <w:rFonts w:ascii="Times New Roman" w:hAnsi="Times New Roman" w:eastAsia="Times New Roman"/>
                <w:b w:val="0"/>
                <w:color w:val="000000"/>
                <w:sz w:val="21"/>
              </w:rPr>
              <w:t>3. Phản hồi kết quả xét duyệt qua thông báo đẩy.</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Yêu cầu đề xuất sách được theo dõi và xử lý.</w:t>
            </w:r>
          </w:p>
        </w:tc>
      </w:tr>
    </w:tbl>
    <w:p/>
    <w:p>
      <w:pPr>
        <w:keepNext/>
        <w:spacing w:before="200" w:after="80"/>
        <w:jc w:val="left"/>
      </w:pPr>
      <w:r>
        <w:rPr>
          <w:rFonts w:ascii="Times New Roman" w:hAnsi="Times New Roman" w:eastAsia="Times New Roman"/>
          <w:b/>
          <w:color w:val="000000"/>
          <w:sz w:val="22"/>
        </w:rPr>
        <w:t>Bảng 10  Đặc tả yêu cầu chức năng Phản hồi</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BUC11</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Phản hồi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Trung bình</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Ghi nhận góp ý và khiếu nại.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Người sử dụng, Cán bộ thư viện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Người sử dụng có ý kiến.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Gửi phản hồi qua biểu mẫu.</w:t>
            </w:r>
          </w:p>
          <w:p>
            <w:pPr>
              <w:spacing w:after="0" w:line="259" w:lineRule="auto"/>
            </w:pPr>
            <w:r>
              <w:rPr>
                <w:rFonts w:ascii="Times New Roman" w:hAnsi="Times New Roman" w:eastAsia="Times New Roman"/>
                <w:b w:val="0"/>
                <w:color w:val="000000"/>
                <w:sz w:val="21"/>
              </w:rPr>
              <w:t>2. Hệ thống phân loại, chuyển cán bộ phụ trách.</w:t>
            </w:r>
          </w:p>
          <w:p>
            <w:pPr>
              <w:spacing w:after="0" w:line="259" w:lineRule="auto"/>
            </w:pPr>
            <w:r>
              <w:rPr>
                <w:rFonts w:ascii="Times New Roman" w:hAnsi="Times New Roman" w:eastAsia="Times New Roman"/>
                <w:b w:val="0"/>
                <w:color w:val="000000"/>
                <w:sz w:val="21"/>
              </w:rPr>
              <w:t>3. Cán bộ xem xét và trả lời trực tiếp trên hệ thống trong vòng ba ngày làm việc.</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Khiếu nại được giải quyết.</w:t>
            </w:r>
          </w:p>
        </w:tc>
      </w:tr>
    </w:tbl>
    <w:p/>
    <w:p>
      <w:pPr>
        <w:keepNext/>
        <w:spacing w:before="200" w:after="80"/>
        <w:jc w:val="left"/>
      </w:pPr>
      <w:r>
        <w:rPr>
          <w:rFonts w:ascii="Times New Roman" w:hAnsi="Times New Roman" w:eastAsia="Times New Roman"/>
          <w:b/>
          <w:color w:val="000000"/>
          <w:sz w:val="22"/>
        </w:rPr>
        <w:t>Bảng 11  Đặc tả yêu cầu chức năng Bảng điều khiển kiểm kê tài liệu</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BUC12</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Bảng điều khiển kiểm kê tài liệu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Hiển thị báo cáo thống kê hoạt động.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Cán bộ thư viện, Quản trị viên</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Đăng nhập trang quản trị nội bộ.</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Cán bộ truy cập bảng điều khiển theo đúng vai trò.</w:t>
              <w:br/>
              <w:t>2. Hệ thống tổng hợp số liệu từ bản sao, phiếu mượn, hoạt động gần đây và dữ liệu kiểm kê.</w:t>
              <w:br/>
              <w:t>3. Cán bộ tạo phiên kiểm kê, quét barcode, đối chiếu vị trí, ghi nhận bản sao lạ hoặc sai vị trí và chốt phiên.</w:t>
              <w:br/>
              <w:t>4. Xuất báo cáo nâng cao chỉ thực hiện sau khi các luồng lõi đã hoàn tất.</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Nắm bắt toàn cảnh hoạt động thư viện.</w:t>
            </w:r>
          </w:p>
        </w:tc>
      </w:tr>
    </w:tbl>
    <w:p/>
    <w:p>
      <w:pPr>
        <w:keepNext/>
        <w:spacing w:before="200" w:after="80"/>
        <w:jc w:val="left"/>
      </w:pPr>
      <w:r>
        <w:rPr>
          <w:rFonts w:ascii="Times New Roman" w:hAnsi="Times New Roman" w:eastAsia="Times New Roman"/>
          <w:b/>
          <w:color w:val="000000"/>
          <w:sz w:val="22"/>
        </w:rPr>
        <w:t>Bảng 12  Đặc tả yêu cầu chức năng Gợi ý sách cá nhân hóa và đánh giá tài liệu</w:t>
      </w:r>
    </w:p>
    <w:tbl>
      <w:tblPr>
        <w:tblStyle w:val="TableGrid"/>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20"/>
        <w:gridCol w:w="4320"/>
      </w:tblGrid>
      <w:tr>
        <w:trPr>
          <w:tblHeader w:val="true"/>
        </w:trP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Mã yêu cầu</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BUC13</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Tên yêu cầu</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Gợi ý sách cá nhân hóa và đánh giá tài liệu</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Mức độ ưu tiên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Cao</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Mô tả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Gợi ý sách theo nội dung, chuyên ngành và lịch sử tương tác; hỗ trợ đánh giá khi còn đủ thời gian triển khai.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Tác nhân</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Hệ thống nền, Độc giả</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Điều kiện trước</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Độc giả đăng nhập vào hệ thống.</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Các thao tác xử lý</w:t>
            </w:r>
          </w:p>
        </w:tc>
        <w:tc>
          <w:tcPr>
            <w:tcW w:type="dxa" w:w="4320"/>
            <w:vAlign w:val="center"/>
            <w:tcMar>
              <w:top w:w="90" w:type="dxa"/>
              <w:start w:w="110" w:type="dxa"/>
              <w:bottom w:w="90" w:type="dxa"/>
              <w:end w:w="110" w:type="dxa"/>
            </w:tcMar>
          </w:tcPr>
          <w:p>
            <w:pPr>
              <w:spacing w:after="0" w:line="259" w:lineRule="auto"/>
            </w:pPr>
            <w:r>
              <w:rPr>
                <w:rFonts w:ascii="Times New Roman" w:hAnsi="Times New Roman" w:eastAsia="Times New Roman"/>
                <w:b w:val="0"/>
                <w:color w:val="000000"/>
                <w:sz w:val="21"/>
              </w:rPr>
              <w:t>1. Hệ thống tạo đặc trưng từ tiêu đề, tác giả, thể loại, mô tả, chuyên ngành và lịch sử tương tác.</w:t>
              <w:br/>
              <w:t>2. Baseline dùng TF IDF và cosine similarity để xếp hạng top K; sách phổ biến là phương án dự phòng cho người dùng mới.</w:t>
              <w:br/>
              <w:t>3. Khi đủ dữ liệu, hệ thống có thể bổ sung tín hiệu cộng tác để tạo điểm hybrid.</w:t>
              <w:br/>
              <w:t>4. Web và Mobile hiển thị kết quả từ API, không dùng danh sách hard code.</w:t>
              <w:br/>
              <w:t>5. Đánh giá và danh sách quan tâm là phần mở rộng sau luồng gợi ý cốt lõi.</w:t>
            </w:r>
          </w:p>
        </w:tc>
      </w:tr>
      <w:tr>
        <w:tc>
          <w:tcPr>
            <w:tcW w:type="dxa" w:w="4320"/>
            <w:vAlign w:val="center"/>
            <w:tcMar>
              <w:top w:w="90" w:type="dxa"/>
              <w:start w:w="110" w:type="dxa"/>
              <w:bottom w:w="90" w:type="dxa"/>
              <w:end w:w="110" w:type="dxa"/>
            </w:tcMar>
            <w:shd w:fill="D9EAF7"/>
          </w:tcPr>
          <w:p>
            <w:pPr>
              <w:spacing w:after="0" w:line="259" w:lineRule="auto"/>
            </w:pPr>
            <w:r>
              <w:rPr>
                <w:rFonts w:ascii="Times New Roman" w:hAnsi="Times New Roman" w:eastAsia="Times New Roman"/>
                <w:b/>
                <w:color w:val="000000"/>
                <w:sz w:val="21"/>
              </w:rPr>
              <w:t>Kết quả</w:t>
            </w:r>
          </w:p>
        </w:tc>
        <w:tc>
          <w:tcPr>
            <w:tcW w:type="dxa" w:w="4320"/>
            <w:vAlign w:val="center"/>
            <w:tcMar>
              <w:top w:w="90" w:type="dxa"/>
              <w:start w:w="110" w:type="dxa"/>
              <w:bottom w:w="90" w:type="dxa"/>
              <w:end w:w="110" w:type="dxa"/>
            </w:tcMar>
            <w:shd w:fill="F7FAFC"/>
          </w:tcPr>
          <w:p>
            <w:pPr>
              <w:spacing w:after="0" w:line="259" w:lineRule="auto"/>
            </w:pPr>
            <w:r>
              <w:rPr>
                <w:rFonts w:ascii="Times New Roman" w:hAnsi="Times New Roman" w:eastAsia="Times New Roman"/>
                <w:b w:val="0"/>
                <w:color w:val="000000"/>
                <w:sz w:val="21"/>
              </w:rPr>
              <w:t>Danh sách gợi ý có thể giải thích và đánh giá bằng metric phù hợp.</w:t>
            </w:r>
          </w:p>
        </w:tc>
      </w:tr>
    </w:tbl>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