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ĐẶC TẢ NGHIỆP VỤ THỰC TẾ (BUSINESS USE CASES)</w:t>
      </w:r>
    </w:p>
    <w:p>
      <w:pPr>
        <w:jc w:val="center"/>
      </w:pPr>
      <w:r>
        <w:rPr>
          <w:i/>
        </w:rPr>
        <w:t>Bảng 1: Bảng đặc tả yêu cầu chức năng Đăng ký làm thẻ và sử dụng thư viện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BUC01</w:t>
            </w:r>
          </w:p>
        </w:tc>
      </w:tr>
      <w:tr>
        <w:tc>
          <w:tcPr>
            <w:tcW w:type="dxa" w:w="4320"/>
          </w:tcPr>
          <w:p>
            <w:r>
              <w:t>Tên yêu cầu</w:t>
            </w:r>
          </w:p>
        </w:tc>
        <w:tc>
          <w:tcPr>
            <w:tcW w:type="dxa" w:w="4320"/>
          </w:tcPr>
          <w:p>
            <w:r>
              <w:t>Đăng ký làm thẻ và sử dụng thư viện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quyền cho người sử dụng vào thư viện và mượn tài liệu.</w:t>
            </w:r>
          </w:p>
        </w:tc>
      </w:tr>
      <w:tr>
        <w:tc>
          <w:tcPr>
            <w:tcW w:type="dxa" w:w="4320"/>
          </w:tcPr>
          <w:p>
            <w:r>
              <w:t>Tác nhân</w:t>
            </w:r>
          </w:p>
        </w:tc>
        <w:tc>
          <w:tcPr>
            <w:tcW w:type="dxa" w:w="4320"/>
          </w:tcPr>
          <w:p>
            <w:r>
              <w:t>Người sử dụng, Tổ công tác</w:t>
            </w:r>
          </w:p>
        </w:tc>
      </w:tr>
      <w:tr>
        <w:tc>
          <w:tcPr>
            <w:tcW w:type="dxa" w:w="4320"/>
          </w:tcPr>
          <w:p>
            <w:r>
              <w:t>Điều kiện trước</w:t>
            </w:r>
          </w:p>
        </w:tc>
        <w:tc>
          <w:tcPr>
            <w:tcW w:type="dxa" w:w="4320"/>
          </w:tcPr>
          <w:p>
            <w:r>
              <w:t>Người sử dụng chưa có thẻ thư viện.</w:t>
            </w:r>
          </w:p>
        </w:tc>
      </w:tr>
      <w:tr>
        <w:tc>
          <w:tcPr>
            <w:tcW w:type="dxa" w:w="4320"/>
          </w:tcPr>
          <w:p>
            <w:r>
              <w:t>Các thao tác xử lý</w:t>
            </w:r>
          </w:p>
        </w:tc>
        <w:tc>
          <w:tcPr>
            <w:tcW w:type="dxa" w:w="4320"/>
          </w:tcPr>
          <w:p>
            <w:pPr>
              <w:spacing w:after="40"/>
            </w:pPr>
            <w:r>
              <w:t>1. Người sử dụng xuất trình thông tin cá nhân và đăng ký phân loại nhóm.</w:t>
            </w:r>
          </w:p>
          <w:p>
            <w:pPr>
              <w:spacing w:after="40"/>
            </w:pPr>
            <w:r>
              <w:t>2. Đóng lệ phí làm thẻ và thu tiền thế chân tối thiểu 100.000 VNĐ đối với Sinh viên, Học viên, Người ngoài trường; miễn thu thế chân đối với Giảng viên và Viên chức.</w:t>
            </w:r>
          </w:p>
          <w:p>
            <w:pPr>
              <w:spacing w:after="40"/>
            </w:pPr>
            <w:r>
              <w:t>3. Tổ công tác in thẻ với thời hạn sử dụng 1 năm. Khi gia hạn thẻ ở các năm sau, chỉ đóng lại lệ phí, giữ nguyên tiền thế chân.</w:t>
            </w:r>
          </w:p>
          <w:p>
            <w:pPr>
              <w:spacing w:after="40"/>
            </w:pPr>
            <w:r>
              <w:t>4. Đối với Sinh viên và Học viên: Phải tham gia lớp hướng dẫn sử dụng thư viện để được hệ thống tự động kích hoạt thẻ.</w:t>
            </w:r>
          </w:p>
          <w:p>
            <w:pPr>
              <w:spacing w:after="40"/>
            </w:pPr>
            <w:r>
              <w:t>5. Đối với Giảng viên, Viên chức, Người ngoài trường: Không bắt buộc học lớp hướng dẫn, hệ thống tự động kích hoạt thẻ ngay sau khi hoàn tất thủ tục.</w:t>
            </w:r>
          </w:p>
        </w:tc>
      </w:tr>
      <w:tr>
        <w:tc>
          <w:tcPr>
            <w:tcW w:type="dxa" w:w="4320"/>
          </w:tcPr>
          <w:p>
            <w:r>
              <w:t>Kết quả</w:t>
            </w:r>
          </w:p>
        </w:tc>
        <w:tc>
          <w:tcPr>
            <w:tcW w:type="dxa" w:w="4320"/>
          </w:tcPr>
          <w:p>
            <w:r>
              <w:t>Người sử dụng được cấp thẻ có thời hạn 1 năm và kích hoạt quyền mượn.</w:t>
            </w:r>
          </w:p>
        </w:tc>
      </w:tr>
    </w:tbl>
    <w:p/>
    <w:p>
      <w:pPr>
        <w:jc w:val="center"/>
      </w:pPr>
      <w:r>
        <w:rPr>
          <w:i/>
        </w:rPr>
        <w:t>Bảng 2: Bảng đặc tả yêu cầu chức năng Phục vụ mượn tài liệu về nhà hoặc Đọc tại chỗ</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BUC02</w:t>
            </w:r>
          </w:p>
        </w:tc>
      </w:tr>
      <w:tr>
        <w:tc>
          <w:tcPr>
            <w:tcW w:type="dxa" w:w="4320"/>
          </w:tcPr>
          <w:p>
            <w:r>
              <w:t>Tên yêu cầu</w:t>
            </w:r>
          </w:p>
        </w:tc>
        <w:tc>
          <w:tcPr>
            <w:tcW w:type="dxa" w:w="4320"/>
          </w:tcPr>
          <w:p>
            <w:r>
              <w:t>Phục vụ mượn tài liệu về nhà hoặc Đọc tại chỗ</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Lập phiếu mượn mang tài liệu ra khỏi thư viện hoặc đọc tại phòng.</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thẻ thư viện hợp lệ đã được kích hoạt.</w:t>
            </w:r>
          </w:p>
        </w:tc>
      </w:tr>
      <w:tr>
        <w:tc>
          <w:tcPr>
            <w:tcW w:type="dxa" w:w="4320"/>
          </w:tcPr>
          <w:p>
            <w:r>
              <w:t>Các thao tác xử lý</w:t>
            </w:r>
          </w:p>
        </w:tc>
        <w:tc>
          <w:tcPr>
            <w:tcW w:type="dxa" w:w="4320"/>
          </w:tcPr>
          <w:p>
            <w:r>
              <w:t>1. Mượn mang về: Chỉ được mượn tài liệu có nhãn màu trắng, tổng số tài liệu nhãn trắng đang mượn tại một thời điểm không quá ba cuốn với thời hạn mượn mặc định là mười ngày. Mỗi đầu sách chỉ được mượn một bản duy nhất để tránh độc quyền tài liệu. Đối với nhóm Sinh viên, Học viên và Người ngoài trường, tổng giá trị tài liệu đang mượn và chọn mới tính theo giá bìa không được vượt quá tổng của số dư tiền thế chân cộng thêm 50.000 VNĐ. Giảng viên và Viên chức không bị giới hạn về giá trị.</w:t>
              <w:br/>
              <w:t>2. Mượn đọc tại chỗ: Tài liệu nhãn cam, xanh, NCKH, luận án, luận văn, báo cáo TN chỉ được đọc tại chỗ, không quá hai tài liệu trong một lần.</w:t>
              <w:br/>
              <w:t>3. Lập phiếu mượn được thực hiện tại quầy thủ thư hoặc Kiosk tự động. Người sử dụng cũng có thể tự lập phiếu giữ chỗ trực tuyến. Khi lập phiếu mượn, hệ thống kiểm tra số lượng tồn kho theo thời gian thực và khóa tạm sách tối đa mười lăm phút trong lúc độc giả thao tác để tránh tranh chấp.</w:t>
              <w:br/>
              <w:t>4. Tài liệu mượn về có thể được gia hạn trực tuyến tối đa hai lần, mỗi lần kéo dài thêm mười ngày, với điều kiện sách không bị quá hạn và không có lệnh thu hồi đột xuất.</w:t>
              <w:br/>
              <w:t>5. Quy định về ngày đến hạn: Nếu ngày hết hạn trả sách rơi vào ngày nghỉ lễ, Tết hoặc ngày thư viện không hoạt động theo lịch, hệ thống tự động dời ngày hết hạn sang ngày làm việc chính thức đầu tiên ngay sau kỳ nghỉ.</w:t>
              <w:br/>
              <w:t>6. Hệ thống sẽ chặn luồng lập phiếu mượn nếu người dùng đang có sách quá hạn chưa trả hoặc có khoản phạt chưa thanh toán.</w:t>
              <w:br/>
              <w:t>7. Mượn tại Kiosk: Tích hợp cân điện tử đối chiếu trọng lượng sách để chống tráo mã vạch (Weight-based validation).</w:t>
            </w:r>
          </w:p>
        </w:tc>
      </w:tr>
      <w:tr>
        <w:tc>
          <w:tcPr>
            <w:tcW w:type="dxa" w:w="4320"/>
          </w:tcPr>
          <w:p>
            <w:r>
              <w:t>Kết quả</w:t>
            </w:r>
          </w:p>
        </w:tc>
        <w:tc>
          <w:tcPr>
            <w:tcW w:type="dxa" w:w="4320"/>
          </w:tcPr>
          <w:p>
            <w:r>
              <w:t>Phiếu mượn được lập thành công, đảm bảo số lượng, loại nhãn và hạn mức giá trị.</w:t>
            </w:r>
          </w:p>
        </w:tc>
      </w:tr>
    </w:tbl>
    <w:p/>
    <w:p>
      <w:pPr>
        <w:jc w:val="center"/>
      </w:pPr>
      <w:r>
        <w:rPr>
          <w:i/>
        </w:rPr>
        <w:t>Bảng 3: Bảng đặc tả yêu cầu chức năng Phục vụ trả tài liệu và xử lý vi phạm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BUC03</w:t>
            </w:r>
          </w:p>
        </w:tc>
      </w:tr>
      <w:tr>
        <w:tc>
          <w:tcPr>
            <w:tcW w:type="dxa" w:w="4320"/>
          </w:tcPr>
          <w:p>
            <w:r>
              <w:t>Tên yêu cầu</w:t>
            </w:r>
          </w:p>
        </w:tc>
        <w:tc>
          <w:tcPr>
            <w:tcW w:type="dxa" w:w="4320"/>
          </w:tcPr>
          <w:p>
            <w:r>
              <w:t>Phục vụ trả tài liệu và xử lý vi phạm</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Thu hồi tài liệu và xử lý các trường hợp quá hạn, hư hỏng, mất mát.</w:t>
            </w:r>
          </w:p>
        </w:tc>
      </w:tr>
      <w:tr>
        <w:tc>
          <w:tcPr>
            <w:tcW w:type="dxa" w:w="4320"/>
          </w:tcPr>
          <w:p>
            <w:r>
              <w:t>Tác nhân</w:t>
            </w:r>
          </w:p>
        </w:tc>
        <w:tc>
          <w:tcPr>
            <w:tcW w:type="dxa" w:w="4320"/>
          </w:tcPr>
          <w:p>
            <w:r>
              <w:t>Người sử dụng, Tổ công tác</w:t>
            </w:r>
          </w:p>
        </w:tc>
      </w:tr>
      <w:tr>
        <w:tc>
          <w:tcPr>
            <w:tcW w:type="dxa" w:w="4320"/>
          </w:tcPr>
          <w:p>
            <w:r>
              <w:t>Điều kiện trước</w:t>
            </w:r>
          </w:p>
        </w:tc>
        <w:tc>
          <w:tcPr>
            <w:tcW w:type="dxa" w:w="4320"/>
          </w:tcPr>
          <w:p>
            <w:r>
              <w:t>Người sử dụng đang mượn tài liệu.</w:t>
            </w:r>
          </w:p>
        </w:tc>
      </w:tr>
      <w:tr>
        <w:tc>
          <w:tcPr>
            <w:tcW w:type="dxa" w:w="4320"/>
          </w:tcPr>
          <w:p>
            <w:r>
              <w:t>Các thao tác xử lý</w:t>
            </w:r>
          </w:p>
        </w:tc>
        <w:tc>
          <w:tcPr>
            <w:tcW w:type="dxa" w:w="4320"/>
          </w:tcPr>
          <w:p>
            <w:r>
              <w:t>1. Người sử dụng mang trả tài liệu theo thời hạn hoặc trong vòng bảy ngày nếu nhận yêu cầu thu hồi đột xuất. Nếu trả sách trễ hạn dưới ba mươi ngày, độc giả phải đóng khoản tiền phạt trễ hạn tính theo từng ngày với mức một nghìn đồng mỗi ngày cho một tài liệu (tự động loại trừ các ngày nghỉ lễ, Tết theo lịch của trường).</w:t>
              <w:br/>
              <w:t>2. Hư hỏng nhẹ từ một đến mười trang: Đóng khoản tiền sửa chữa. Khi phát hiện tài liệu có vi phạm, hệ thống tạm khóa giao dịch tài chính để ngăn rút tiền cọc cho đến khi hoàn tất phiếu phạt. Nếu sau hai mươi bốn giờ mà cán bộ chưa hoàn tất phiếu phạt, hệ thống tự động gửi cảnh báo đến Quản trị viên.</w:t>
              <w:br/>
              <w:t>3. Hư hỏng nặng hoặc Mất: Người sử dụng phải tự mua đền sách y hệt, hoặc đền tiền với mức phạt gấp năm lần giá bìa sách tiếng Việt hoặc gấp ba lần sách tiếng nước ngoài, kèm phí xử lý.</w:t>
              <w:br/>
              <w:t>4. Thời hạn mua đền hoặc nộp tiền đền bù không quá ba mươi ngày kể từ lúc báo mất. Trường hợp độc giả có minh chứng đang chờ mua sách hiện vật, thủ thư có thể gia hạn thêm tối đa mười lăm ngày, ghi nhận lý do và tạm ngưng tiến trình quét nợ xấu. Nếu quá thời hạn mà chưa đền bù, hệ thống tự động chuyển hồ sơ sang trạng thái nợ xấu để xử lý vi phạm.</w:t>
              <w:br/>
              <w:t>5. Nếu trễ hạn quá ba mươi ngày mà chưa trả sách, hệ thống tự động coi như sách đã mất và áp dụng mức phạt mất sách. Đối với nhóm Sinh viên, Học viên và Người ngoài trường, tự động trừ tiền nợ vào tiền thế chân; nếu không đủ thì chuyển hồ sơ kỷ luật cho Phòng Công tác sinh viên đối với Sinh viên, Phòng Đào tạo Sau Đại học đối với Học viên, hoặc khóa thẻ vĩnh viễn và đưa vào danh sách đen đối với Người ngoài trường. Giảng viên và Viên chức sẽ bị khóa thẻ và báo cáo về Phòng Tổ chức.</w:t>
              <w:br/>
              <w:t>6. Đối với trường hợp mất hoặc hư hỏng tài liệu do thiên tai, hỏa hoạn ngoài ý muốn, độc giả nộp giấy tờ chứng minh. Căn cứ quyết định miễn giảm của Giám đốc thư viện hoặc Ban giám hiệu, Quản trị viên cấp cao sẽ thực hiện xóa nợ tiền phạt trên hệ thống.</w:t>
              <w:br/>
              <w:t>7. Ân hạn bảo trì: Trong trường hợp hệ thống gặp sự cố (downtime), tự động lùi thời hạn trả sách thêm 24h.</w:t>
            </w:r>
          </w:p>
          <w:p>
            <w:r>
              <w:t>35. Hệ thống bắt buộc lưu vết tình trạng vật lý của sách ngay tại thời điểm xuất kho (checkout_condition_note) và lúc nhập kho (return_condition_note) để làm bằng chứng pháp lý giải quyết tranh chấp với sinh viên.</w:t>
            </w:r>
          </w:p>
          <w:p>
            <w:r>
              <w:t>36. Trường hợp sinh viên nộp giấy xác nhận thiên tai, hệ thống bắt buộc lưu trữ đường dẫn tệp (proof_document_url) gắn liền với giao dịch để Ban Giám Hiệu có căn cứ xét duyệt miễn giảm.</w:t>
            </w:r>
          </w:p>
        </w:tc>
      </w:tr>
      <w:tr>
        <w:tc>
          <w:tcPr>
            <w:tcW w:type="dxa" w:w="4320"/>
          </w:tcPr>
          <w:p>
            <w:r>
              <w:t>Kết quả</w:t>
            </w:r>
          </w:p>
        </w:tc>
        <w:tc>
          <w:tcPr>
            <w:tcW w:type="dxa" w:w="4320"/>
          </w:tcPr>
          <w:p>
            <w:r>
              <w:t>Tài liệu được thu hồi, vi phạm được xử lý đúng quy định.</w:t>
            </w:r>
          </w:p>
        </w:tc>
      </w:tr>
    </w:tbl>
    <w:p/>
    <w:p>
      <w:pPr>
        <w:jc w:val="center"/>
      </w:pPr>
      <w:r>
        <w:rPr>
          <w:i/>
        </w:rPr>
        <w:t>Bảng 4: Bảng đặc tả yêu cầu chức năng Đăng ký và sử dụng không gian tiện ích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BUC04</w:t>
            </w:r>
          </w:p>
        </w:tc>
      </w:tr>
      <w:tr>
        <w:tc>
          <w:tcPr>
            <w:tcW w:type="dxa" w:w="4320"/>
          </w:tcPr>
          <w:p>
            <w:r>
              <w:t>Tên yêu cầu</w:t>
            </w:r>
          </w:p>
        </w:tc>
        <w:tc>
          <w:tcPr>
            <w:tcW w:type="dxa" w:w="4320"/>
          </w:tcPr>
          <w:p>
            <w:r>
              <w:t>Đăng ký và sử dụng không gian tiện ích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việc sử dụng phòng học nhóm.</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Độc giả có tài khoản hợp lệ.</w:t>
            </w:r>
          </w:p>
        </w:tc>
      </w:tr>
      <w:tr>
        <w:tc>
          <w:tcPr>
            <w:tcW w:type="dxa" w:w="4320"/>
          </w:tcPr>
          <w:p>
            <w:r>
              <w:t>Các thao tác xử lý</w:t>
            </w:r>
          </w:p>
        </w:tc>
        <w:tc>
          <w:tcPr>
            <w:tcW w:type="dxa" w:w="4320"/>
          </w:tcPr>
          <w:p>
            <w:r>
              <w:t>1. Độc giả đăng ký trực tuyến trên trang thông tin (yêu cầu không có sách quá hạn hoặc nợ phạt chưa thanh toán), nhận kết quả đặt phòng sau mười lăm phút.</w:t>
              <w:br/>
              <w:t>2. Thời gian sử dụng quy định là một trăm hai mươi phút mỗi lượt. Được phép gia hạn nếu không có người khác chờ.</w:t>
              <w:br/>
              <w:t>3. Nếu người đặt đến trễ mười lăm phút so với thời gian đăng ký mà không xác nhận nhận phòng bằng cách quét mã tại cửa phòng hoặc Kiosk, kết quả sẽ bị hủy. Độc giả có thể tự hủy trên giao diện hoặc thông báo cho cán bộ qua email thuvienhufi@gmail.com. Nếu độc giả vi phạm quá ba lần trong một học kỳ, hệ thống sẽ tạm khóa quyền đặt phòng nhóm trong bảy ngày.</w:t>
              <w:br/>
              <w:t>4. Độc giả có trách nhiệm thực hiện thao tác trả phòng sớm trên ứng dụng và tắt máy lạnh, đèn trước khi rời khỏi. Nếu không thao tác, hệ thống tự động giải phóng phòng khi hết thời gian đặt.</w:t>
              <w:br/>
              <w:t>5. Đóng băng phòng: Giữa 2 ca đặt phòng bắt buộc có 15 phút cooldown để dọn vệ sinh. Một nhóm không được đặt 2 ca liên tiếp.</w:t>
            </w:r>
          </w:p>
        </w:tc>
      </w:tr>
      <w:tr>
        <w:tc>
          <w:tcPr>
            <w:tcW w:type="dxa" w:w="4320"/>
          </w:tcPr>
          <w:p>
            <w:r>
              <w:t>Kết quả</w:t>
            </w:r>
          </w:p>
        </w:tc>
        <w:tc>
          <w:tcPr>
            <w:tcW w:type="dxa" w:w="4320"/>
          </w:tcPr>
          <w:p>
            <w:r>
              <w:t>Không gian tiện ích được sử dụng tối ưu.</w:t>
            </w:r>
          </w:p>
        </w:tc>
      </w:tr>
    </w:tbl>
    <w:p/>
    <w:p>
      <w:pPr>
        <w:jc w:val="center"/>
      </w:pPr>
      <w:r>
        <w:rPr>
          <w:i/>
        </w:rPr>
        <w:t>Bảng 5: Bảng đặc tả yêu cầu chức năng Thu và hoàn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BUC05</w:t>
            </w:r>
          </w:p>
        </w:tc>
      </w:tr>
      <w:tr>
        <w:tc>
          <w:tcPr>
            <w:tcW w:type="dxa" w:w="4320"/>
          </w:tcPr>
          <w:p>
            <w:r>
              <w:t>Tên yêu cầu</w:t>
            </w:r>
          </w:p>
        </w:tc>
        <w:tc>
          <w:tcPr>
            <w:tcW w:type="dxa" w:w="4320"/>
          </w:tcPr>
          <w:p>
            <w:r>
              <w:t>Thu và hoàn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dòng tiền đặt cọc tối thiểu 100.000 VNĐ của người sử dụng.</w:t>
            </w:r>
          </w:p>
        </w:tc>
      </w:tr>
      <w:tr>
        <w:tc>
          <w:tcPr>
            <w:tcW w:type="dxa" w:w="4320"/>
          </w:tcPr>
          <w:p>
            <w:r>
              <w:t>Tác nhân</w:t>
            </w:r>
          </w:p>
        </w:tc>
        <w:tc>
          <w:tcPr>
            <w:tcW w:type="dxa" w:w="4320"/>
          </w:tcPr>
          <w:p>
            <w:r>
              <w:t>Người sử dụng, Kế toán, Thủ quỹ</w:t>
            </w:r>
          </w:p>
        </w:tc>
      </w:tr>
      <w:tr>
        <w:tc>
          <w:tcPr>
            <w:tcW w:type="dxa" w:w="4320"/>
          </w:tcPr>
          <w:p>
            <w:r>
              <w:t>Điều kiện trước</w:t>
            </w:r>
          </w:p>
        </w:tc>
        <w:tc>
          <w:tcPr>
            <w:tcW w:type="dxa" w:w="4320"/>
          </w:tcPr>
          <w:p>
            <w:r>
              <w:t>Người sử dụng có yêu cầu hoàn tiền hoặc đóng tiền thế chân.</w:t>
            </w:r>
          </w:p>
        </w:tc>
      </w:tr>
      <w:tr>
        <w:tc>
          <w:tcPr>
            <w:tcW w:type="dxa" w:w="4320"/>
          </w:tcPr>
          <w:p>
            <w:r>
              <w:t>Các thao tác xử lý</w:t>
            </w:r>
          </w:p>
        </w:tc>
        <w:tc>
          <w:tcPr>
            <w:tcW w:type="dxa" w:w="4320"/>
          </w:tcPr>
          <w:p>
            <w:r>
              <w:t>1. Kế toán thu tiền thế chân theo mức tối thiểu hoặc theo nhu cầu mượn sách của độc giả và xuất biên lai. Độc giả có thể nộp thêm tiền thế chân để tăng hạn mức mượn sách, tuy nhiên tổng số dư tiền thế chân không được vượt quá mức trần do thư viện quy định.</w:t>
              <w:br/>
              <w:t>2. Nếu hoàn tiền thế chân, Người sử dụng xuất trình biên lai gốc.</w:t>
              <w:br/>
              <w:t>3. Hệ thống kiểm tra điều kiện rút tiền: không còn nợ sách. Nếu nợ tiền phạt lớn hơn số dư tiền thế chân, độc giả phải thanh toán phần chênh lệch trước khi được hoàn cọc.</w:t>
              <w:br/>
              <w:t>4. Kế toán lập phiếu xuất quỹ cấn trừ tiền phạt nếu có. Thủ quỹ kiểm tra, duyệt phiếu và chi trả tiền mặt. Độc giả có thể rút bớt tiền cọc để duy trì tài khoản (miễn là còn đủ mức tối thiểu), hoặc rút toàn bộ và Hủy thẻ.</w:t>
              <w:br/>
              <w:t>5. Đối soát thanh toán: Hệ thống tích hợp luồng quét đối soát (Reconciliation) định kỳ cho các giao dịch nạp cọc trực tuyến để xử lý lỗi rớt mạng.</w:t>
            </w:r>
          </w:p>
          <w:p>
            <w:r>
              <w:t>37. Hệ thống tự động liên kết giao dịch hoàn tiền (Refund) bằng khóa ngoại tự chiếu về đúng giao dịch nộp tiền (Deposit) gốc để ngăn chặn vĩnh viễn hành vi dùng một biên lai gốc rút tiền nhiều lần.</w:t>
            </w:r>
          </w:p>
        </w:tc>
      </w:tr>
      <w:tr>
        <w:tc>
          <w:tcPr>
            <w:tcW w:type="dxa" w:w="4320"/>
          </w:tcPr>
          <w:p>
            <w:r>
              <w:t>Kết quả</w:t>
            </w:r>
          </w:p>
        </w:tc>
        <w:tc>
          <w:tcPr>
            <w:tcW w:type="dxa" w:w="4320"/>
          </w:tcPr>
          <w:p>
            <w:r>
              <w:t>Tiền thế chân được thu và hoàn với sự kiểm soát kép.</w:t>
            </w:r>
          </w:p>
        </w:tc>
      </w:tr>
    </w:tbl>
    <w:p/>
    <w:p>
      <w:pPr>
        <w:jc w:val="center"/>
      </w:pPr>
      <w:r>
        <w:rPr>
          <w:i/>
        </w:rPr>
        <w:t>Bảng 6: Bảng đặc tả yêu cầu chức năng Quản lý nhập sách và Phiếu nhập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BUC06</w:t>
            </w:r>
          </w:p>
        </w:tc>
      </w:tr>
      <w:tr>
        <w:tc>
          <w:tcPr>
            <w:tcW w:type="dxa" w:w="4320"/>
          </w:tcPr>
          <w:p>
            <w:r>
              <w:t>Tên yêu cầu</w:t>
            </w:r>
          </w:p>
        </w:tc>
        <w:tc>
          <w:tcPr>
            <w:tcW w:type="dxa" w:w="4320"/>
          </w:tcPr>
          <w:p>
            <w:r>
              <w:t>Quản lý nhập sách và Phiếu nhập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Lập phiếu nhập, quản lý nhà cung cấp và thông tin sách mới.</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Có sách mới từ nhà cung cấp cần nhập kho.</w:t>
            </w:r>
          </w:p>
        </w:tc>
      </w:tr>
      <w:tr>
        <w:tc>
          <w:tcPr>
            <w:tcW w:type="dxa" w:w="4320"/>
          </w:tcPr>
          <w:p>
            <w:r>
              <w:t>Các thao tác xử lý</w:t>
            </w:r>
          </w:p>
        </w:tc>
        <w:tc>
          <w:tcPr>
            <w:tcW w:type="dxa" w:w="4320"/>
          </w:tcPr>
          <w:p>
            <w:pPr>
              <w:spacing w:after="40"/>
            </w:pPr>
            <w:r>
              <w:t>1. Cán bộ thư viện chọn hoặc thêm Nhà cung cấp và tạo Phiếu nhập kho trên hệ thống.</w:t>
            </w:r>
          </w:p>
          <w:p>
            <w:pPr>
              <w:spacing w:after="40"/>
            </w:pPr>
            <w:r>
              <w:t>2. Nhập thông tin sách, phân bổ vị trí lưu trữ chi tiết đến Khu vực, Tầng, Kệ, Ngăn.</w:t>
            </w:r>
          </w:p>
          <w:p>
            <w:pPr>
              <w:spacing w:after="40"/>
            </w:pPr>
            <w:r>
              <w:t>3. Hệ thống sinh mã vạch. Cán bộ dán nhãn phân loại tùy loại tài liệu.</w:t>
            </w:r>
          </w:p>
          <w:p>
            <w:pPr>
              <w:spacing w:after="40"/>
            </w:pPr>
            <w:r>
              <w:t>4. Cập nhật số lượng tồn kho tự động dựa trên Phiếu nhập.</w:t>
            </w:r>
          </w:p>
        </w:tc>
      </w:tr>
      <w:tr>
        <w:tc>
          <w:tcPr>
            <w:tcW w:type="dxa" w:w="4320"/>
          </w:tcPr>
          <w:p>
            <w:r>
              <w:t>Kết quả</w:t>
            </w:r>
          </w:p>
        </w:tc>
        <w:tc>
          <w:tcPr>
            <w:tcW w:type="dxa" w:w="4320"/>
          </w:tcPr>
          <w:p>
            <w:r>
              <w:t>Sách được nhập kho có truy xuất nguồn gốc và vị trí chính xác.</w:t>
            </w:r>
          </w:p>
        </w:tc>
      </w:tr>
    </w:tbl>
    <w:p/>
    <w:p>
      <w:pPr>
        <w:jc w:val="center"/>
      </w:pPr>
      <w:r>
        <w:rPr>
          <w:i/>
        </w:rPr>
        <w:t>Bảng 7: Bảng đặc tả yêu cầu chức năng Quản lý đối soát và báo cáo tài chính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BUC07</w:t>
            </w:r>
          </w:p>
        </w:tc>
      </w:tr>
      <w:tr>
        <w:tc>
          <w:tcPr>
            <w:tcW w:type="dxa" w:w="4320"/>
          </w:tcPr>
          <w:p>
            <w:r>
              <w:t>Tên yêu cầu</w:t>
            </w:r>
          </w:p>
        </w:tc>
        <w:tc>
          <w:tcPr>
            <w:tcW w:type="dxa" w:w="4320"/>
          </w:tcPr>
          <w:p>
            <w:r>
              <w:t>Quản lý đối soát và báo cáo tài chính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các khoản thu, khoản đã thu và khoản xử phạt trong thư viện.</w:t>
            </w:r>
          </w:p>
        </w:tc>
      </w:tr>
      <w:tr>
        <w:tc>
          <w:tcPr>
            <w:tcW w:type="dxa" w:w="4320"/>
          </w:tcPr>
          <w:p>
            <w:r>
              <w:t>Tác nhân</w:t>
            </w:r>
          </w:p>
        </w:tc>
        <w:tc>
          <w:tcPr>
            <w:tcW w:type="dxa" w:w="4320"/>
          </w:tcPr>
          <w:p>
            <w:r>
              <w:t>Kế toán, Thủ quỹ</w:t>
            </w:r>
          </w:p>
        </w:tc>
      </w:tr>
      <w:tr>
        <w:tc>
          <w:tcPr>
            <w:tcW w:type="dxa" w:w="4320"/>
          </w:tcPr>
          <w:p>
            <w:r>
              <w:t>Điều kiện trước</w:t>
            </w:r>
          </w:p>
        </w:tc>
        <w:tc>
          <w:tcPr>
            <w:tcW w:type="dxa" w:w="4320"/>
          </w:tcPr>
          <w:p>
            <w:r>
              <w:t>Cán bộ quản lý tài chính đăng nhập hệ thống.</w:t>
            </w:r>
          </w:p>
        </w:tc>
      </w:tr>
      <w:tr>
        <w:tc>
          <w:tcPr>
            <w:tcW w:type="dxa" w:w="4320"/>
          </w:tcPr>
          <w:p>
            <w:r>
              <w:t>Các thao tác xử lý</w:t>
            </w:r>
          </w:p>
        </w:tc>
        <w:tc>
          <w:tcPr>
            <w:tcW w:type="dxa" w:w="4320"/>
          </w:tcPr>
          <w:p>
            <w:pPr>
              <w:spacing w:after="40"/>
            </w:pPr>
            <w:r>
              <w:t>1. Kế toán trích xuất dữ liệu giao dịch từ hệ thống.</w:t>
            </w:r>
          </w:p>
          <w:p>
            <w:pPr>
              <w:spacing w:after="40"/>
            </w:pPr>
            <w:r>
              <w:t>2. Hệ thống hiển thị chi tiết các khoản thu lệ phí, thế chân, phạt, chi hoàn cọc.</w:t>
            </w:r>
          </w:p>
          <w:p>
            <w:pPr>
              <w:spacing w:after="40"/>
            </w:pPr>
            <w:r>
              <w:t>3. Kế toán đối chiếu thực tế và lập báo cáo tài chính.</w:t>
            </w:r>
          </w:p>
          <w:p>
            <w:pPr>
              <w:spacing w:after="40"/>
            </w:pPr>
            <w:r>
              <w:t>4. Thủ quỹ kiểm tra chéo và xác nhận chốt sổ.</w:t>
            </w:r>
          </w:p>
        </w:tc>
      </w:tr>
      <w:tr>
        <w:tc>
          <w:tcPr>
            <w:tcW w:type="dxa" w:w="4320"/>
          </w:tcPr>
          <w:p>
            <w:r>
              <w:t>Kết quả</w:t>
            </w:r>
          </w:p>
        </w:tc>
        <w:tc>
          <w:tcPr>
            <w:tcW w:type="dxa" w:w="4320"/>
          </w:tcPr>
          <w:p>
            <w:r>
              <w:t>Dòng tiền được kiểm soát chặt chẽ.</w:t>
            </w:r>
          </w:p>
        </w:tc>
      </w:tr>
    </w:tbl>
    <w:p/>
    <w:p>
      <w:pPr>
        <w:jc w:val="center"/>
      </w:pPr>
      <w:r>
        <w:rPr>
          <w:i/>
        </w:rPr>
        <w:t>Bảng 8: Bảng đặc tả yêu cầu chức năng Nhắc hạn và cảnh báo quá hạn trả sách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BUC08</w:t>
            </w:r>
          </w:p>
        </w:tc>
      </w:tr>
      <w:tr>
        <w:tc>
          <w:tcPr>
            <w:tcW w:type="dxa" w:w="4320"/>
          </w:tcPr>
          <w:p>
            <w:r>
              <w:t>Tên yêu cầu</w:t>
            </w:r>
          </w:p>
        </w:tc>
        <w:tc>
          <w:tcPr>
            <w:tcW w:type="dxa" w:w="4320"/>
          </w:tcPr>
          <w:p>
            <w:r>
              <w:t>Nhắc hạn và cảnh báo quá hạn trả sách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Gửi thông báo nhắc nhở hạn trả sách và cảnh báo qua ứng dụng.</w:t>
            </w:r>
          </w:p>
        </w:tc>
      </w:tr>
      <w:tr>
        <w:tc>
          <w:tcPr>
            <w:tcW w:type="dxa" w:w="4320"/>
          </w:tcPr>
          <w:p>
            <w:r>
              <w:t>Tác nhân</w:t>
            </w:r>
          </w:p>
        </w:tc>
        <w:tc>
          <w:tcPr>
            <w:tcW w:type="dxa" w:w="4320"/>
          </w:tcPr>
          <w:p>
            <w:r>
              <w:t>Hệ thống nền, Người sử dụng</w:t>
            </w:r>
          </w:p>
        </w:tc>
      </w:tr>
      <w:tr>
        <w:tc>
          <w:tcPr>
            <w:tcW w:type="dxa" w:w="4320"/>
          </w:tcPr>
          <w:p>
            <w:r>
              <w:t>Điều kiện trước</w:t>
            </w:r>
          </w:p>
        </w:tc>
        <w:tc>
          <w:tcPr>
            <w:tcW w:type="dxa" w:w="4320"/>
          </w:tcPr>
          <w:p>
            <w:r>
              <w:t>Người sử dụng đang mượn sách sắp đến hạn hoặc quá hạn.</w:t>
            </w:r>
          </w:p>
        </w:tc>
      </w:tr>
      <w:tr>
        <w:tc>
          <w:tcPr>
            <w:tcW w:type="dxa" w:w="4320"/>
          </w:tcPr>
          <w:p>
            <w:r>
              <w:t>Các thao tác xử lý</w:t>
            </w:r>
          </w:p>
        </w:tc>
        <w:tc>
          <w:tcPr>
            <w:tcW w:type="dxa" w:w="4320"/>
          </w:tcPr>
          <w:p>
            <w:pPr>
              <w:spacing w:after="40"/>
            </w:pPr>
            <w:r>
              <w:t>1. Hệ thống kiểm tra danh sách mượn hàng ngày.</w:t>
            </w:r>
          </w:p>
          <w:p>
            <w:pPr>
              <w:spacing w:after="40"/>
            </w:pPr>
            <w:r>
              <w:t>2. Gửi nhắc nhở trước hạn và thông báo thu hồi đột xuất qua thông báo đẩy trên Ứng dụng di động.</w:t>
            </w:r>
          </w:p>
          <w:p>
            <w:pPr>
              <w:spacing w:after="40"/>
            </w:pPr>
            <w:r>
              <w:t>3. Quá hạn ba mươi ngày, hệ thống lập danh sách cấn trừ tiền thế chân. Nếu tiền thế chân không đủ, hệ thống tự động chuyển hồ sơ cho Phòng Công tác sinh viên, Phòng Đào tạo Sau Đại học, Phòng Tổ chức, hoặc đưa vào danh sách đen tùy theo đối tượng người sử dụng.</w:t>
            </w:r>
          </w:p>
          <w:p>
            <w:pPr>
              <w:spacing w:after="40"/>
            </w:pPr>
            <w:r>
              <w:t>4. Gửi biên lai điện tử thông báo trừ tiền.</w:t>
            </w:r>
          </w:p>
        </w:tc>
      </w:tr>
      <w:tr>
        <w:tc>
          <w:tcPr>
            <w:tcW w:type="dxa" w:w="4320"/>
          </w:tcPr>
          <w:p>
            <w:r>
              <w:t>Kết quả</w:t>
            </w:r>
          </w:p>
        </w:tc>
        <w:tc>
          <w:tcPr>
            <w:tcW w:type="dxa" w:w="4320"/>
          </w:tcPr>
          <w:p>
            <w:r>
              <w:t>Độc giả nhận thông báo kịp thời trên mọi nền tảng.</w:t>
            </w:r>
          </w:p>
        </w:tc>
      </w:tr>
    </w:tbl>
    <w:p/>
    <w:p>
      <w:pPr>
        <w:jc w:val="center"/>
      </w:pPr>
      <w:r>
        <w:rPr>
          <w:i/>
        </w:rPr>
        <w:t>Bảng 9: Bảng đặc tả yêu cầu chức năng Quản lý sách điện tử và tài liệu số</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BUC09</w:t>
            </w:r>
          </w:p>
        </w:tc>
      </w:tr>
      <w:tr>
        <w:tc>
          <w:tcPr>
            <w:tcW w:type="dxa" w:w="4320"/>
          </w:tcPr>
          <w:p>
            <w:r>
              <w:t>Tên yêu cầu</w:t>
            </w:r>
          </w:p>
        </w:tc>
        <w:tc>
          <w:tcPr>
            <w:tcW w:type="dxa" w:w="4320"/>
          </w:tcPr>
          <w:p>
            <w:r>
              <w:t>Quản lý sách điện tử và tài liệu số</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xuất bản, lưu trữ và phân quyền truy cập tài liệu số hóa.</w:t>
            </w:r>
          </w:p>
        </w:tc>
      </w:tr>
      <w:tr>
        <w:tc>
          <w:tcPr>
            <w:tcW w:type="dxa" w:w="4320"/>
          </w:tcPr>
          <w:p>
            <w:r>
              <w:t>Tác nhân</w:t>
            </w:r>
          </w:p>
        </w:tc>
        <w:tc>
          <w:tcPr>
            <w:tcW w:type="dxa" w:w="4320"/>
          </w:tcPr>
          <w:p>
            <w:r>
              <w:t>Cán bộ thư viện, Người sử dụng</w:t>
            </w:r>
          </w:p>
        </w:tc>
      </w:tr>
      <w:tr>
        <w:tc>
          <w:tcPr>
            <w:tcW w:type="dxa" w:w="4320"/>
          </w:tcPr>
          <w:p>
            <w:r>
              <w:t>Điều kiện trước</w:t>
            </w:r>
          </w:p>
        </w:tc>
        <w:tc>
          <w:tcPr>
            <w:tcW w:type="dxa" w:w="4320"/>
          </w:tcPr>
          <w:p>
            <w:r>
              <w:t>Thư viện có tài liệu số hoặc sách điện tử cần phát hành.</w:t>
            </w:r>
          </w:p>
        </w:tc>
      </w:tr>
      <w:tr>
        <w:tc>
          <w:tcPr>
            <w:tcW w:type="dxa" w:w="4320"/>
          </w:tcPr>
          <w:p>
            <w:r>
              <w:t>Các thao tác xử lý</w:t>
            </w:r>
          </w:p>
        </w:tc>
        <w:tc>
          <w:tcPr>
            <w:tcW w:type="dxa" w:w="4320"/>
          </w:tcPr>
          <w:p>
            <w:pPr>
              <w:spacing w:after="40"/>
            </w:pPr>
            <w:r>
              <w:t>1. Cán bộ khai báo thông tin nền tài liệu số, tải tệp đính kèm hoặc gắn đường dẫn truy cập ngoài.</w:t>
            </w:r>
          </w:p>
          <w:p>
            <w:pPr>
              <w:spacing w:after="40"/>
            </w:pPr>
            <w:r>
              <w:t>2. Thiết lập trạng thái phát hành là Công khai hoặc Nội bộ và cấu hình phân quyền xem tải.</w:t>
            </w:r>
          </w:p>
          <w:p>
            <w:pPr>
              <w:spacing w:after="40"/>
            </w:pPr>
            <w:r>
              <w:t>3. Hệ thống áp dụng mã hóa bảo vệ bản quyền, khóa quyền tải xuống đối với tài liệu lưu hành nội bộ, chỉ cho phép tải đối với tài liệu nguồn mở để tuân thủ Luật sở hữu trí tuệ.</w:t>
            </w:r>
          </w:p>
          <w:p>
            <w:pPr>
              <w:spacing w:after="40"/>
            </w:pPr>
            <w:r>
              <w:t>4. Người sử dụng có quyền hợp lệ tìm kiếm và đọc tài liệu ngay trên thiết bị tin học.</w:t>
            </w:r>
          </w:p>
        </w:tc>
      </w:tr>
      <w:tr>
        <w:tc>
          <w:tcPr>
            <w:tcW w:type="dxa" w:w="4320"/>
          </w:tcPr>
          <w:p>
            <w:r>
              <w:t>Kết quả</w:t>
            </w:r>
          </w:p>
        </w:tc>
        <w:tc>
          <w:tcPr>
            <w:tcW w:type="dxa" w:w="4320"/>
          </w:tcPr>
          <w:p>
            <w:r>
              <w:t>Tài liệu số được xuất bản, quản lý bản quyền tuyệt đối.</w:t>
            </w:r>
          </w:p>
        </w:tc>
      </w:tr>
    </w:tbl>
    <w:p/>
    <w:p>
      <w:pPr>
        <w:jc w:val="center"/>
      </w:pPr>
      <w:r>
        <w:rPr>
          <w:i/>
        </w:rPr>
        <w:t>Bảng 10: Bảng đặc tả yêu cầu chức năng Đề xuất thêm sách bổ sung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BUC10</w:t>
            </w:r>
          </w:p>
        </w:tc>
      </w:tr>
      <w:tr>
        <w:tc>
          <w:tcPr>
            <w:tcW w:type="dxa" w:w="4320"/>
          </w:tcPr>
          <w:p>
            <w:r>
              <w:t>Tên yêu cầu</w:t>
            </w:r>
          </w:p>
        </w:tc>
        <w:tc>
          <w:tcPr>
            <w:tcW w:type="dxa" w:w="4320"/>
          </w:tcPr>
          <w:p>
            <w:r>
              <w:t>Đề xuất thêm sách bổ sung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Gửi yêu cầu mua đầu sách chưa có thông qua trang thông tin.</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nhu cầu đọc sách ngoài danh mục.</w:t>
            </w:r>
          </w:p>
        </w:tc>
      </w:tr>
      <w:tr>
        <w:tc>
          <w:tcPr>
            <w:tcW w:type="dxa" w:w="4320"/>
          </w:tcPr>
          <w:p>
            <w:r>
              <w:t>Các thao tác xử lý</w:t>
            </w:r>
          </w:p>
        </w:tc>
        <w:tc>
          <w:tcPr>
            <w:tcW w:type="dxa" w:w="4320"/>
          </w:tcPr>
          <w:p>
            <w:pPr>
              <w:spacing w:after="40"/>
            </w:pPr>
            <w:r>
              <w:t>1. Người sử dụng điền biểu mẫu đề xuất trên trang thông tin.</w:t>
            </w:r>
          </w:p>
          <w:p>
            <w:pPr>
              <w:spacing w:after="40"/>
            </w:pPr>
            <w:r>
              <w:t>2. Hệ thống ghi nhận, chuyển cán bộ xem xét và tổng hợp.</w:t>
            </w:r>
          </w:p>
          <w:p>
            <w:pPr>
              <w:spacing w:after="40"/>
            </w:pPr>
            <w:r>
              <w:t>3. Phản hồi kết quả xét duyệt qua thông báo đẩy.</w:t>
            </w:r>
          </w:p>
        </w:tc>
      </w:tr>
      <w:tr>
        <w:tc>
          <w:tcPr>
            <w:tcW w:type="dxa" w:w="4320"/>
          </w:tcPr>
          <w:p>
            <w:r>
              <w:t>Kết quả</w:t>
            </w:r>
          </w:p>
        </w:tc>
        <w:tc>
          <w:tcPr>
            <w:tcW w:type="dxa" w:w="4320"/>
          </w:tcPr>
          <w:p>
            <w:r>
              <w:t>Yêu cầu đề xuất sách được theo dõi và xử lý.</w:t>
            </w:r>
          </w:p>
        </w:tc>
      </w:tr>
    </w:tbl>
    <w:p/>
    <w:p>
      <w:pPr>
        <w:jc w:val="center"/>
      </w:pPr>
      <w:r>
        <w:rPr>
          <w:i/>
        </w:rPr>
        <w:t>Bảng 11: Bảng đặc tả yêu cầu chức năng Phản hồi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BUC11</w:t>
            </w:r>
          </w:p>
        </w:tc>
      </w:tr>
      <w:tr>
        <w:tc>
          <w:tcPr>
            <w:tcW w:type="dxa" w:w="4320"/>
          </w:tcPr>
          <w:p>
            <w:r>
              <w:t>Tên yêu cầu</w:t>
            </w:r>
          </w:p>
        </w:tc>
        <w:tc>
          <w:tcPr>
            <w:tcW w:type="dxa" w:w="4320"/>
          </w:tcPr>
          <w:p>
            <w:r>
              <w:t>Phản hồi</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Ghi nhận góp ý và khiếu nại.</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ý kiến.</w:t>
            </w:r>
          </w:p>
        </w:tc>
      </w:tr>
      <w:tr>
        <w:tc>
          <w:tcPr>
            <w:tcW w:type="dxa" w:w="4320"/>
          </w:tcPr>
          <w:p>
            <w:r>
              <w:t>Các thao tác xử lý</w:t>
            </w:r>
          </w:p>
        </w:tc>
        <w:tc>
          <w:tcPr>
            <w:tcW w:type="dxa" w:w="4320"/>
          </w:tcPr>
          <w:p>
            <w:pPr>
              <w:spacing w:after="40"/>
            </w:pPr>
            <w:r>
              <w:t>1. Gửi phản hồi qua biểu mẫu.</w:t>
            </w:r>
          </w:p>
          <w:p>
            <w:pPr>
              <w:spacing w:after="40"/>
            </w:pPr>
            <w:r>
              <w:t>2. Hệ thống phân loại, chuyển cán bộ phụ trách.</w:t>
            </w:r>
          </w:p>
          <w:p>
            <w:pPr>
              <w:spacing w:after="40"/>
            </w:pPr>
            <w:r>
              <w:t>3. Cán bộ xem xét và trả lời trực tiếp trên hệ thống trong vòng ba ngày làm việc.</w:t>
            </w:r>
          </w:p>
        </w:tc>
      </w:tr>
      <w:tr>
        <w:tc>
          <w:tcPr>
            <w:tcW w:type="dxa" w:w="4320"/>
          </w:tcPr>
          <w:p>
            <w:r>
              <w:t>Kết quả</w:t>
            </w:r>
          </w:p>
        </w:tc>
        <w:tc>
          <w:tcPr>
            <w:tcW w:type="dxa" w:w="4320"/>
          </w:tcPr>
          <w:p>
            <w:r>
              <w:t>Khiếu nại được giải quyết.</w:t>
            </w:r>
          </w:p>
        </w:tc>
      </w:tr>
    </w:tbl>
    <w:p/>
    <w:p>
      <w:pPr>
        <w:jc w:val="center"/>
      </w:pPr>
      <w:r>
        <w:rPr>
          <w:i/>
        </w:rPr>
        <w:t>Bảng 12: Bảng đặc tả yêu cầu chức năng Bảng điều khiển kiểm kê tài liệu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BUC12</w:t>
            </w:r>
          </w:p>
        </w:tc>
      </w:tr>
      <w:tr>
        <w:tc>
          <w:tcPr>
            <w:tcW w:type="dxa" w:w="4320"/>
          </w:tcPr>
          <w:p>
            <w:r>
              <w:t>Tên yêu cầu</w:t>
            </w:r>
          </w:p>
        </w:tc>
        <w:tc>
          <w:tcPr>
            <w:tcW w:type="dxa" w:w="4320"/>
          </w:tcPr>
          <w:p>
            <w:r>
              <w:t>Bảng điều khiển kiểm kê tài liệu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Hiển thị báo cáo thống kê hoạt động.</w:t>
            </w:r>
          </w:p>
        </w:tc>
      </w:tr>
      <w:tr>
        <w:tc>
          <w:tcPr>
            <w:tcW w:type="dxa" w:w="4320"/>
          </w:tcPr>
          <w:p>
            <w:r>
              <w:t>Tác nhân</w:t>
            </w:r>
          </w:p>
        </w:tc>
        <w:tc>
          <w:tcPr>
            <w:tcW w:type="dxa" w:w="4320"/>
          </w:tcPr>
          <w:p>
            <w:r>
              <w:t>Cán bộ thư viện, Quản trị viên</w:t>
            </w:r>
          </w:p>
        </w:tc>
      </w:tr>
      <w:tr>
        <w:tc>
          <w:tcPr>
            <w:tcW w:type="dxa" w:w="4320"/>
          </w:tcPr>
          <w:p>
            <w:r>
              <w:t>Điều kiện trước</w:t>
            </w:r>
          </w:p>
        </w:tc>
        <w:tc>
          <w:tcPr>
            <w:tcW w:type="dxa" w:w="4320"/>
          </w:tcPr>
          <w:p>
            <w:r>
              <w:t>Đăng nhập trang quản trị nội bộ.</w:t>
            </w:r>
          </w:p>
        </w:tc>
      </w:tr>
      <w:tr>
        <w:tc>
          <w:tcPr>
            <w:tcW w:type="dxa" w:w="4320"/>
          </w:tcPr>
          <w:p>
            <w:r>
              <w:t>Các thao tác xử lý</w:t>
            </w:r>
          </w:p>
        </w:tc>
        <w:tc>
          <w:tcPr>
            <w:tcW w:type="dxa" w:w="4320"/>
          </w:tcPr>
          <w:p>
            <w:pPr>
              <w:spacing w:after="40"/>
            </w:pPr>
            <w:r>
              <w:t>1. Truy cập Bảng điều khiển.</w:t>
            </w:r>
          </w:p>
          <w:p>
            <w:pPr>
              <w:spacing w:after="40"/>
            </w:pPr>
            <w:r>
              <w:t>2. Tổng hợp dữ liệu vị trí sách từ Khu vực đến Ngăn kệ, phiếu mượn trả, quá hạn, tiền phạt.</w:t>
            </w:r>
          </w:p>
          <w:p>
            <w:pPr>
              <w:spacing w:after="40"/>
            </w:pPr>
            <w:r>
              <w:t>3. Hiển thị báo cáo trực quan, hỗ trợ xuất tệp tin văn bản.</w:t>
            </w:r>
          </w:p>
        </w:tc>
      </w:tr>
      <w:tr>
        <w:tc>
          <w:tcPr>
            <w:tcW w:type="dxa" w:w="4320"/>
          </w:tcPr>
          <w:p>
            <w:r>
              <w:t>Kết quả</w:t>
            </w:r>
          </w:p>
        </w:tc>
        <w:tc>
          <w:tcPr>
            <w:tcW w:type="dxa" w:w="4320"/>
          </w:tcPr>
          <w:p>
            <w:r>
              <w:t>Nắm bắt toàn cảnh hoạt động thư viện.</w:t>
            </w:r>
          </w:p>
        </w:tc>
      </w:tr>
    </w:tbl>
    <w:p/>
    <w:p>
      <w:pPr>
        <w:jc w:val="center"/>
      </w:pPr>
      <w:r>
        <w:rPr>
          <w:i/>
        </w:rPr>
        <w:t>Bảng 13: Bảng đặc tả yêu cầu chức năng Đề xuất tài liệu thông minh và Đánh giá xếp hạng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BUC13</w:t>
            </w:r>
          </w:p>
        </w:tc>
      </w:tr>
      <w:tr>
        <w:tc>
          <w:tcPr>
            <w:tcW w:type="dxa" w:w="4320"/>
          </w:tcPr>
          <w:p>
            <w:r>
              <w:t>Tên yêu cầu</w:t>
            </w:r>
          </w:p>
        </w:tc>
        <w:tc>
          <w:tcPr>
            <w:tcW w:type="dxa" w:w="4320"/>
          </w:tcPr>
          <w:p>
            <w:r>
              <w:t>Đề xuất tài liệu thông minh và Đánh giá xếp hạng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Gợi ý sách cá nhân hóa bằng trí tuệ nhân tạo, quản lý đánh giá và danh sách quan tâm của người dùng.</w:t>
            </w:r>
          </w:p>
        </w:tc>
      </w:tr>
      <w:tr>
        <w:tc>
          <w:tcPr>
            <w:tcW w:type="dxa" w:w="4320"/>
          </w:tcPr>
          <w:p>
            <w:r>
              <w:t>Tác nhân</w:t>
            </w:r>
          </w:p>
        </w:tc>
        <w:tc>
          <w:tcPr>
            <w:tcW w:type="dxa" w:w="4320"/>
          </w:tcPr>
          <w:p>
            <w:r>
              <w:t>Hệ thống nền, Độc giả</w:t>
            </w:r>
          </w:p>
        </w:tc>
      </w:tr>
      <w:tr>
        <w:tc>
          <w:tcPr>
            <w:tcW w:type="dxa" w:w="4320"/>
          </w:tcPr>
          <w:p>
            <w:r>
              <w:t>Điều kiện trước</w:t>
            </w:r>
          </w:p>
        </w:tc>
        <w:tc>
          <w:tcPr>
            <w:tcW w:type="dxa" w:w="4320"/>
          </w:tcPr>
          <w:p>
            <w:r>
              <w:t>Độc giả đăng nhập vào hệ thống.</w:t>
            </w:r>
          </w:p>
        </w:tc>
      </w:tr>
      <w:tr>
        <w:tc>
          <w:tcPr>
            <w:tcW w:type="dxa" w:w="4320"/>
          </w:tcPr>
          <w:p>
            <w:r>
              <w:t>Các thao tác xử lý</w:t>
            </w:r>
          </w:p>
        </w:tc>
        <w:tc>
          <w:tcPr>
            <w:tcW w:type="dxa" w:w="4320"/>
          </w:tcPr>
          <w:p>
            <w:pPr>
              <w:spacing w:after="40"/>
            </w:pPr>
            <w:r>
              <w:t>1. Hệ thống tự động phân tích lịch sử mượn và chuyên ngành để đề xuất sách cá nhân hóa cho từng độc giả trên giao diện.</w:t>
            </w:r>
          </w:p>
          <w:p>
            <w:pPr>
              <w:spacing w:after="40"/>
            </w:pPr>
            <w:r>
              <w:t>2. Độc giả có quyền đánh giá điểm xếp hạng cho tài liệu sau khi sử dụng. Hệ thống lưu trữ và tự động tính toán lại điểm trung bình của đầu sách.</w:t>
            </w:r>
          </w:p>
          <w:p>
            <w:pPr>
              <w:spacing w:after="40"/>
            </w:pPr>
            <w:r>
              <w:t>3. Độc giả có thể lưu hoặc bỏ lưu tài liệu vào danh sách quan tâm cá nhân để tra cứu nhanh sau này.</w:t>
            </w:r>
          </w:p>
        </w:tc>
      </w:tr>
      <w:tr>
        <w:tc>
          <w:tcPr>
            <w:tcW w:type="dxa" w:w="4320"/>
          </w:tcPr>
          <w:p>
            <w:r>
              <w:t>Kết quả</w:t>
            </w:r>
          </w:p>
        </w:tc>
        <w:tc>
          <w:tcPr>
            <w:tcW w:type="dxa" w:w="4320"/>
          </w:tcPr>
          <w:p>
            <w:r>
              <w:t>Tăng cường trải nghiệm tương tác thông minh với hệ thống.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