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0"/>
        <w:jc w:val="center"/>
      </w:pPr>
      <w:r>
        <w:rPr>
          <w:b/>
          <w:color w:val="0D2B55"/>
          <w:sz w:val="56"/>
        </w:rPr>
        <w:t>AI INDUSTRY DEEP RESEARCH</w:t>
      </w:r>
    </w:p>
    <w:p>
      <w:pPr>
        <w:spacing w:before="160" w:after="80"/>
        <w:jc w:val="center"/>
      </w:pPr>
      <w:r>
        <w:rPr>
          <w:b/>
          <w:color w:val="C9A02C"/>
          <w:sz w:val="36"/>
        </w:rPr>
        <w:t>Stocks with Highest 5-Year Upside</w:t>
      </w:r>
    </w:p>
    <w:p>
      <w:pPr>
        <w:spacing w:before="80"/>
        <w:jc w:val="center"/>
      </w:pPr>
      <w:r>
        <w:rPr>
          <w:i/>
          <w:color w:val="445B6D"/>
          <w:sz w:val="22"/>
        </w:rPr>
        <w:t>Analyst-Grade Report  ·  Bias-Adjusted  ·  Multi-Source Synthesis</w:t>
      </w:r>
    </w:p>
    <w:p>
      <w:pPr>
        <w:spacing w:before="80" w:after="80"/>
        <w:pBdr>
          <w:bottom w:val="single" w:sz="6" w:space="4" w:color="C9A02C"/>
        </w:pBdr>
      </w:pPr>
    </w:p>
    <w:p>
      <w:pPr>
        <w:spacing w:before="240"/>
        <w:jc w:val="center"/>
      </w:pPr>
      <w:r>
        <w:rPr>
          <w:color w:val="445B6D"/>
          <w:sz w:val="22"/>
        </w:rPr>
        <w:t>May 2026</w:t>
      </w:r>
    </w:p>
    <w:p>
      <w:r>
        <w:br w:type="page"/>
      </w:r>
    </w:p>
    <w:p>
      <w:pPr>
        <w:spacing w:before="320" w:after="80"/>
        <w:pBdr>
          <w:bottom w:val="single" w:sz="12" w:space="4" w:color="C9A02C"/>
        </w:pBdr>
      </w:pPr>
      <w:r>
        <w:rPr>
          <w:b/>
          <w:color w:val="0D2B55"/>
          <w:sz w:val="36"/>
        </w:rPr>
        <w:t>Executive Summary</w:t>
      </w:r>
    </w:p>
    <w:p>
      <w:pPr>
        <w:spacing w:before="0" w:after="120"/>
      </w:pPr>
      <w:r>
        <w:rPr>
          <w:color w:val="1A1A1A"/>
          <w:sz w:val="21"/>
        </w:rPr>
        <w:t>The AI industry represents the largest infrastructure buildout since the internet — but the distribution of value is deeply uneven, and the consensus narrative is riddled with bias. After synthesizing data from Gartner, McKinsey, Goldman Sachs, JPMorgan, Bain, Morgan Stanley, MIT, PwC, and Morningstar, and cross-checking against short-seller research and academic skeptics, our conclusions diverge sharply from Wall Street consensus in key areas.</w:t>
      </w:r>
    </w:p>
    <w:p>
      <w:pPr>
        <w:spacing w:before="0" w:after="120"/>
      </w:pPr>
      <w:r>
        <w:rPr>
          <w:color w:val="1A1A1A"/>
          <w:sz w:val="21"/>
        </w:rPr>
        <w:t>Buy the constraint, not the hype. The most durable upside over 5 years belongs to companies that own chokepoints: chip fabrication (TSMC), custom silicon (Broadcom, Marvell), AI networking (Arista), power infrastructure (Vertiv, Constellation Energy), and memory (Micron). These companies benefit from AI capex regardless of which model wins. Platform-layer companies (Microsoft, Google) have reasonable valuations and execution moats. Pure-play AI hype stocks (NVIDIA at 47–60× earnings, Palantir at 110× sales) require multiple compression to deliver returns and carry Cisco-2000-scale drawdown risk.</w:t>
      </w:r>
    </w:p>
    <w:p>
      <w:pPr>
        <w:spacing w:before="120"/>
      </w:pPr>
      <w:r>
        <w:rPr>
          <w:b/>
          <w:color w:val="1A1A1A"/>
          <w:sz w:val="21"/>
        </w:rPr>
        <w:t xml:space="preserve">Key non-consensus calls:  </w:t>
      </w:r>
      <w:r>
        <w:rPr>
          <w:color w:val="1A1A1A"/>
          <w:sz w:val="21"/>
        </w:rPr>
        <w:t>Micron is the most undervalued direct AI play. Vertiv and Constellation Energy are the most overlooked. Palantir is the most dangerous at current prices. NVIDIA has the best business but the worst risk/reward entry point.</w:t>
      </w:r>
    </w:p>
    <w:p>
      <w:pPr>
        <w:spacing w:before="320" w:after="80"/>
        <w:pBdr>
          <w:bottom w:val="single" w:sz="12" w:space="4" w:color="C9A02C"/>
        </w:pBdr>
      </w:pPr>
      <w:r>
        <w:rPr>
          <w:b/>
          <w:color w:val="0D2B55"/>
          <w:sz w:val="36"/>
        </w:rPr>
        <w:t>Part I — AI Industry Landscape (Bias-Adjusted)</w:t>
      </w:r>
    </w:p>
    <w:p>
      <w:pPr>
        <w:spacing w:before="200" w:after="80"/>
      </w:pPr>
      <w:r>
        <w:rPr>
          <w:b/>
          <w:color w:val="0D2B55"/>
          <w:sz w:val="28"/>
        </w:rPr>
        <w:t>Market Size — Cutting Through the Noise</w:t>
      </w:r>
    </w:p>
    <w:p>
      <w:pPr>
        <w:spacing w:before="0" w:after="120"/>
      </w:pPr>
      <w:r>
        <w:rPr>
          <w:color w:val="1A1A1A"/>
          <w:sz w:val="21"/>
        </w:rPr>
        <w:t>AI market size estimates range from $255 billion to $15.7 trillion depending on scope — a 60× difference that reflects definitional choices more than genuine disagreement.</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016"/>
            <w:shd w:val="clear" w:color="auto" w:fill="0D2B55"/>
            <w:vAlign w:val="center"/>
          </w:tcPr>
          <w:p>
            <w:pPr>
              <w:spacing w:before="60" w:after="60"/>
              <w:jc w:val="center"/>
            </w:pPr>
            <w:r>
              <w:rPr>
                <w:b/>
                <w:color w:val="FFFFFF"/>
                <w:sz w:val="19"/>
              </w:rPr>
              <w:t>Source</w:t>
            </w:r>
          </w:p>
        </w:tc>
        <w:tc>
          <w:tcPr>
            <w:tcW w:type="dxa" w:w="1728"/>
            <w:shd w:val="clear" w:color="auto" w:fill="0D2B55"/>
            <w:vAlign w:val="center"/>
          </w:tcPr>
          <w:p>
            <w:pPr>
              <w:spacing w:before="60" w:after="60"/>
              <w:jc w:val="center"/>
            </w:pPr>
            <w:r>
              <w:rPr>
                <w:b/>
                <w:color w:val="FFFFFF"/>
                <w:sz w:val="19"/>
              </w:rPr>
              <w:t>2025 Estimate</w:t>
            </w:r>
          </w:p>
        </w:tc>
        <w:tc>
          <w:tcPr>
            <w:tcW w:type="dxa" w:w="2016"/>
            <w:shd w:val="clear" w:color="auto" w:fill="0D2B55"/>
            <w:vAlign w:val="center"/>
          </w:tcPr>
          <w:p>
            <w:pPr>
              <w:spacing w:before="60" w:after="60"/>
              <w:jc w:val="center"/>
            </w:pPr>
            <w:r>
              <w:rPr>
                <w:b/>
                <w:color w:val="FFFFFF"/>
                <w:sz w:val="19"/>
              </w:rPr>
              <w:t>2030 Estimate</w:t>
            </w:r>
          </w:p>
        </w:tc>
        <w:tc>
          <w:tcPr>
            <w:tcW w:type="dxa" w:w="4176"/>
            <w:shd w:val="clear" w:color="auto" w:fill="0D2B55"/>
            <w:vAlign w:val="center"/>
          </w:tcPr>
          <w:p>
            <w:pPr>
              <w:spacing w:before="60" w:after="60"/>
              <w:jc w:val="center"/>
            </w:pPr>
            <w:r>
              <w:rPr>
                <w:b/>
                <w:color w:val="FFFFFF"/>
                <w:sz w:val="19"/>
              </w:rPr>
              <w:t>What It Measures</w:t>
            </w:r>
          </w:p>
        </w:tc>
      </w:tr>
      <w:tr>
        <w:tc>
          <w:tcPr>
            <w:tcW w:type="dxa" w:w="2016"/>
            <w:shd w:val="clear" w:color="auto" w:fill="FFFFFF"/>
            <w:vAlign w:val="center"/>
          </w:tcPr>
          <w:p>
            <w:pPr>
              <w:spacing w:before="40" w:after="40"/>
              <w:jc w:val="left"/>
            </w:pPr>
            <w:r>
              <w:rPr>
                <w:color w:val="1A1A1A"/>
                <w:sz w:val="18"/>
              </w:rPr>
              <w:t>Gartner</w:t>
            </w:r>
          </w:p>
        </w:tc>
        <w:tc>
          <w:tcPr>
            <w:tcW w:type="dxa" w:w="1728"/>
            <w:shd w:val="clear" w:color="auto" w:fill="FFFFFF"/>
            <w:vAlign w:val="center"/>
          </w:tcPr>
          <w:p>
            <w:pPr>
              <w:spacing w:before="40" w:after="40"/>
              <w:jc w:val="center"/>
            </w:pPr>
            <w:r>
              <w:rPr>
                <w:color w:val="1A1A1A"/>
                <w:sz w:val="18"/>
              </w:rPr>
              <w:t>$1.5T</w:t>
            </w:r>
          </w:p>
        </w:tc>
        <w:tc>
          <w:tcPr>
            <w:tcW w:type="dxa" w:w="2016"/>
            <w:shd w:val="clear" w:color="auto" w:fill="FFFFFF"/>
            <w:vAlign w:val="center"/>
          </w:tcPr>
          <w:p>
            <w:pPr>
              <w:spacing w:before="40" w:after="40"/>
              <w:jc w:val="center"/>
            </w:pPr>
            <w:r>
              <w:rPr>
                <w:color w:val="1A1A1A"/>
                <w:sz w:val="18"/>
              </w:rPr>
              <w:t>$2.5T</w:t>
            </w:r>
          </w:p>
        </w:tc>
        <w:tc>
          <w:tcPr>
            <w:tcW w:type="dxa" w:w="4176"/>
            <w:shd w:val="clear" w:color="auto" w:fill="FFFFFF"/>
            <w:vAlign w:val="center"/>
          </w:tcPr>
          <w:p>
            <w:pPr>
              <w:spacing w:before="40" w:after="40"/>
              <w:jc w:val="center"/>
            </w:pPr>
            <w:r>
              <w:rPr>
                <w:color w:val="1A1A1A"/>
                <w:sz w:val="18"/>
              </w:rPr>
              <w:t>Total org AI spending (hardware + software + services)</w:t>
            </w:r>
          </w:p>
        </w:tc>
      </w:tr>
      <w:tr>
        <w:tc>
          <w:tcPr>
            <w:tcW w:type="dxa" w:w="2016"/>
            <w:shd w:val="clear" w:color="auto" w:fill="F0F4F8"/>
            <w:vAlign w:val="center"/>
          </w:tcPr>
          <w:p>
            <w:pPr>
              <w:spacing w:before="40" w:after="40"/>
              <w:jc w:val="left"/>
            </w:pPr>
            <w:r>
              <w:rPr>
                <w:color w:val="1A1A1A"/>
                <w:sz w:val="18"/>
              </w:rPr>
              <w:t>McKinsey</w:t>
            </w:r>
          </w:p>
        </w:tc>
        <w:tc>
          <w:tcPr>
            <w:tcW w:type="dxa" w:w="1728"/>
            <w:shd w:val="clear" w:color="auto" w:fill="F0F4F8"/>
            <w:vAlign w:val="center"/>
          </w:tcPr>
          <w:p>
            <w:pPr>
              <w:spacing w:before="40" w:after="40"/>
              <w:jc w:val="center"/>
            </w:pPr>
            <w:r>
              <w:rPr>
                <w:color w:val="1A1A1A"/>
                <w:sz w:val="18"/>
              </w:rPr>
              <w:t>—</w:t>
            </w:r>
          </w:p>
        </w:tc>
        <w:tc>
          <w:tcPr>
            <w:tcW w:type="dxa" w:w="2016"/>
            <w:shd w:val="clear" w:color="auto" w:fill="F0F4F8"/>
            <w:vAlign w:val="center"/>
          </w:tcPr>
          <w:p>
            <w:pPr>
              <w:spacing w:before="40" w:after="40"/>
              <w:jc w:val="center"/>
            </w:pPr>
            <w:r>
              <w:rPr>
                <w:color w:val="1A1A1A"/>
                <w:sz w:val="18"/>
              </w:rPr>
              <w:t>$7T cumulative</w:t>
            </w:r>
          </w:p>
        </w:tc>
        <w:tc>
          <w:tcPr>
            <w:tcW w:type="dxa" w:w="4176"/>
            <w:shd w:val="clear" w:color="auto" w:fill="F0F4F8"/>
            <w:vAlign w:val="center"/>
          </w:tcPr>
          <w:p>
            <w:pPr>
              <w:spacing w:before="40" w:after="40"/>
              <w:jc w:val="center"/>
            </w:pPr>
            <w:r>
              <w:rPr>
                <w:color w:val="1A1A1A"/>
                <w:sz w:val="18"/>
              </w:rPr>
              <w:t>Data center capex only</w:t>
            </w:r>
          </w:p>
        </w:tc>
      </w:tr>
      <w:tr>
        <w:tc>
          <w:tcPr>
            <w:tcW w:type="dxa" w:w="2016"/>
            <w:shd w:val="clear" w:color="auto" w:fill="FFFFFF"/>
            <w:vAlign w:val="center"/>
          </w:tcPr>
          <w:p>
            <w:pPr>
              <w:spacing w:before="40" w:after="40"/>
              <w:jc w:val="left"/>
            </w:pPr>
            <w:r>
              <w:rPr>
                <w:color w:val="1A1A1A"/>
                <w:sz w:val="18"/>
              </w:rPr>
              <w:t>MarketsandMarkets</w:t>
            </w:r>
          </w:p>
        </w:tc>
        <w:tc>
          <w:tcPr>
            <w:tcW w:type="dxa" w:w="1728"/>
            <w:shd w:val="clear" w:color="auto" w:fill="FFFFFF"/>
            <w:vAlign w:val="center"/>
          </w:tcPr>
          <w:p>
            <w:pPr>
              <w:spacing w:before="40" w:after="40"/>
              <w:jc w:val="center"/>
            </w:pPr>
            <w:r>
              <w:rPr>
                <w:color w:val="1A1A1A"/>
                <w:sz w:val="18"/>
              </w:rPr>
              <w:t>$255B</w:t>
            </w:r>
          </w:p>
        </w:tc>
        <w:tc>
          <w:tcPr>
            <w:tcW w:type="dxa" w:w="2016"/>
            <w:shd w:val="clear" w:color="auto" w:fill="FFFFFF"/>
            <w:vAlign w:val="center"/>
          </w:tcPr>
          <w:p>
            <w:pPr>
              <w:spacing w:before="40" w:after="40"/>
              <w:jc w:val="center"/>
            </w:pPr>
            <w:r>
              <w:rPr>
                <w:color w:val="1A1A1A"/>
                <w:sz w:val="18"/>
              </w:rPr>
              <w:t>$800B</w:t>
            </w:r>
          </w:p>
        </w:tc>
        <w:tc>
          <w:tcPr>
            <w:tcW w:type="dxa" w:w="4176"/>
            <w:shd w:val="clear" w:color="auto" w:fill="FFFFFF"/>
            <w:vAlign w:val="center"/>
          </w:tcPr>
          <w:p>
            <w:pPr>
              <w:spacing w:before="40" w:after="40"/>
              <w:jc w:val="center"/>
            </w:pPr>
            <w:r>
              <w:rPr>
                <w:color w:val="1A1A1A"/>
                <w:sz w:val="18"/>
              </w:rPr>
              <w:t>AI vendor software/hardware revenue</w:t>
            </w:r>
          </w:p>
        </w:tc>
      </w:tr>
      <w:tr>
        <w:tc>
          <w:tcPr>
            <w:tcW w:type="dxa" w:w="2016"/>
            <w:shd w:val="clear" w:color="auto" w:fill="F0F4F8"/>
            <w:vAlign w:val="center"/>
          </w:tcPr>
          <w:p>
            <w:pPr>
              <w:spacing w:before="40" w:after="40"/>
              <w:jc w:val="left"/>
            </w:pPr>
            <w:r>
              <w:rPr>
                <w:color w:val="1A1A1A"/>
                <w:sz w:val="18"/>
              </w:rPr>
              <w:t>Grand View Research</w:t>
            </w:r>
          </w:p>
        </w:tc>
        <w:tc>
          <w:tcPr>
            <w:tcW w:type="dxa" w:w="1728"/>
            <w:shd w:val="clear" w:color="auto" w:fill="F0F4F8"/>
            <w:vAlign w:val="center"/>
          </w:tcPr>
          <w:p>
            <w:pPr>
              <w:spacing w:before="40" w:after="40"/>
              <w:jc w:val="center"/>
            </w:pPr>
            <w:r>
              <w:rPr>
                <w:color w:val="1A1A1A"/>
                <w:sz w:val="18"/>
              </w:rPr>
              <w:t>$390B</w:t>
            </w:r>
          </w:p>
        </w:tc>
        <w:tc>
          <w:tcPr>
            <w:tcW w:type="dxa" w:w="2016"/>
            <w:shd w:val="clear" w:color="auto" w:fill="F0F4F8"/>
            <w:vAlign w:val="center"/>
          </w:tcPr>
          <w:p>
            <w:pPr>
              <w:spacing w:before="40" w:after="40"/>
              <w:jc w:val="center"/>
            </w:pPr>
            <w:r>
              <w:rPr>
                <w:color w:val="1A1A1A"/>
                <w:sz w:val="18"/>
              </w:rPr>
              <w:t>$1.34T</w:t>
            </w:r>
          </w:p>
        </w:tc>
        <w:tc>
          <w:tcPr>
            <w:tcW w:type="dxa" w:w="4176"/>
            <w:shd w:val="clear" w:color="auto" w:fill="F0F4F8"/>
            <w:vAlign w:val="center"/>
          </w:tcPr>
          <w:p>
            <w:pPr>
              <w:spacing w:before="40" w:after="40"/>
              <w:jc w:val="center"/>
            </w:pPr>
            <w:r>
              <w:rPr>
                <w:color w:val="1A1A1A"/>
                <w:sz w:val="18"/>
              </w:rPr>
              <w:t>Broader AI vendor market</w:t>
            </w:r>
          </w:p>
        </w:tc>
      </w:tr>
      <w:tr>
        <w:tc>
          <w:tcPr>
            <w:tcW w:type="dxa" w:w="2016"/>
            <w:shd w:val="clear" w:color="auto" w:fill="FFFFFF"/>
            <w:vAlign w:val="center"/>
          </w:tcPr>
          <w:p>
            <w:pPr>
              <w:spacing w:before="40" w:after="40"/>
              <w:jc w:val="left"/>
            </w:pPr>
            <w:r>
              <w:rPr>
                <w:color w:val="1A1A1A"/>
                <w:sz w:val="18"/>
              </w:rPr>
              <w:t>PwC</w:t>
            </w:r>
          </w:p>
        </w:tc>
        <w:tc>
          <w:tcPr>
            <w:tcW w:type="dxa" w:w="1728"/>
            <w:shd w:val="clear" w:color="auto" w:fill="FFFFFF"/>
            <w:vAlign w:val="center"/>
          </w:tcPr>
          <w:p>
            <w:pPr>
              <w:spacing w:before="40" w:after="40"/>
              <w:jc w:val="center"/>
            </w:pPr>
            <w:r>
              <w:rPr>
                <w:color w:val="1A1A1A"/>
                <w:sz w:val="18"/>
              </w:rPr>
              <w:t>—</w:t>
            </w:r>
          </w:p>
        </w:tc>
        <w:tc>
          <w:tcPr>
            <w:tcW w:type="dxa" w:w="2016"/>
            <w:shd w:val="clear" w:color="auto" w:fill="FFFFFF"/>
            <w:vAlign w:val="center"/>
          </w:tcPr>
          <w:p>
            <w:pPr>
              <w:spacing w:before="40" w:after="40"/>
              <w:jc w:val="center"/>
            </w:pPr>
            <w:r>
              <w:rPr>
                <w:color w:val="1A1A1A"/>
                <w:sz w:val="18"/>
              </w:rPr>
              <w:t>$15.7T</w:t>
            </w:r>
          </w:p>
        </w:tc>
        <w:tc>
          <w:tcPr>
            <w:tcW w:type="dxa" w:w="4176"/>
            <w:shd w:val="clear" w:color="auto" w:fill="FFFFFF"/>
            <w:vAlign w:val="center"/>
          </w:tcPr>
          <w:p>
            <w:pPr>
              <w:spacing w:before="40" w:after="40"/>
              <w:jc w:val="center"/>
            </w:pPr>
            <w:r>
              <w:rPr>
                <w:color w:val="1A1A1A"/>
                <w:sz w:val="18"/>
              </w:rPr>
              <w:t>GDP impact (not market revenue)</w:t>
            </w:r>
          </w:p>
        </w:tc>
      </w:tr>
    </w:tbl>
    <w:p/>
    <w:p>
      <w:pPr>
        <w:spacing w:after="120"/>
      </w:pPr>
      <w:r>
        <w:rPr>
          <w:b/>
          <w:color w:val="1A1A1A"/>
          <w:sz w:val="21"/>
        </w:rPr>
        <w:t xml:space="preserve">Reliable anchors: </w:t>
      </w:r>
      <w:r>
        <w:rPr>
          <w:color w:val="1A1A1A"/>
          <w:sz w:val="21"/>
        </w:rPr>
        <w:t>Gartner's $1.5T (2025) uses a broad vendor-agnostic survey methodology. McKinsey's $7T cumulative data center capex through 2030 is bottom-up and physics-grounded. PwC's $15.7T is a GDP impact figure, not market revenue, and must not be compared to vendor revenue estimates.</w:t>
      </w:r>
    </w:p>
    <w:p>
      <w:pPr>
        <w:spacing w:before="80" w:after="160"/>
        <w:ind w:left="397"/>
      </w:pPr>
      <w:r>
        <w:rPr>
          <w:i/>
          <w:color w:val="445B6D"/>
          <w:sz w:val="19"/>
        </w:rPr>
        <w:t>Bias flag: Research firms with vendor clients (IDC, Gartner) have incentive to project large markets. Consulting firms cite GDP impact figures that justify advisory engagements. Academic and Federal Reserve analyses are more conservative. The investment-grade truth sits in the Gartner/McKinsey range.</w:t>
      </w:r>
    </w:p>
    <w:p>
      <w:pPr>
        <w:spacing w:before="200" w:after="80"/>
      </w:pPr>
      <w:r>
        <w:rPr>
          <w:b/>
          <w:color w:val="0D2B55"/>
          <w:sz w:val="28"/>
        </w:rPr>
        <w:t>The Infrastructure Cycle Is Real — But So Is the ROI Gap</w:t>
      </w:r>
    </w:p>
    <w:p>
      <w:pPr>
        <w:spacing w:after="80"/>
      </w:pPr>
      <w:r>
        <w:rPr>
          <w:b/>
          <w:color w:val="1A1A1A"/>
          <w:sz w:val="21"/>
        </w:rPr>
        <w:t>Bull case — The buildout is massive and supply-constrained:</w:t>
      </w:r>
    </w:p>
    <w:p>
      <w:pPr>
        <w:pStyle w:val="ListBullet"/>
        <w:spacing w:before="40" w:after="40"/>
        <w:ind w:left="397"/>
      </w:pPr>
      <w:r>
        <w:rPr>
          <w:color w:val="1A1A1A"/>
          <w:sz w:val="21"/>
        </w:rPr>
        <w:t>Global data center capacity doubling from 103 GW (2025) to ~200 GW (2030)</w:t>
      </w:r>
    </w:p>
    <w:p>
      <w:pPr>
        <w:pStyle w:val="ListBullet"/>
        <w:spacing w:before="40" w:after="40"/>
        <w:ind w:left="397"/>
      </w:pPr>
      <w:r>
        <w:rPr>
          <w:color w:val="1A1A1A"/>
          <w:sz w:val="21"/>
        </w:rPr>
        <w:t>HBM memory sold out through 2026 — SK Hynix CFO confirmed entire 2026 supply contracted</w:t>
      </w:r>
    </w:p>
    <w:p>
      <w:pPr>
        <w:pStyle w:val="ListBullet"/>
        <w:spacing w:before="40" w:after="40"/>
        <w:ind w:left="397"/>
      </w:pPr>
      <w:r>
        <w:rPr>
          <w:color w:val="1A1A1A"/>
          <w:sz w:val="21"/>
        </w:rPr>
        <w:t>AI workloads growing from 33% to 70% of global data center demand by 2030</w:t>
      </w:r>
    </w:p>
    <w:p>
      <w:pPr>
        <w:pStyle w:val="ListBullet"/>
        <w:spacing w:before="40" w:after="40"/>
        <w:ind w:left="397"/>
      </w:pPr>
      <w:r>
        <w:rPr>
          <w:color w:val="1A1A1A"/>
          <w:sz w:val="21"/>
        </w:rPr>
        <w:t>Agentic AI market: $7–11B (2025) → $139–155B (2030) at 40%+ CAGR</w:t>
      </w:r>
    </w:p>
    <w:p/>
    <w:p>
      <w:pPr>
        <w:spacing w:after="80"/>
      </w:pPr>
      <w:r>
        <w:rPr>
          <w:b/>
          <w:color w:val="1A1A1A"/>
          <w:sz w:val="21"/>
        </w:rPr>
        <w:t>Bear case — The ROI math is alarming:</w:t>
      </w:r>
    </w:p>
    <w:p>
      <w:pPr>
        <w:pStyle w:val="ListBullet"/>
        <w:spacing w:before="40" w:after="40"/>
        <w:ind w:left="397"/>
      </w:pPr>
      <w:r>
        <w:rPr>
          <w:color w:val="1A1A1A"/>
          <w:sz w:val="21"/>
        </w:rPr>
        <w:t>JPMorgan: Industry needs $650B in annual revenue in perpetuity for a 10% return on planned capex</w:t>
      </w:r>
    </w:p>
    <w:p>
      <w:pPr>
        <w:pStyle w:val="ListBullet"/>
        <w:spacing w:before="40" w:after="40"/>
        <w:ind w:left="397"/>
      </w:pPr>
      <w:r>
        <w:rPr>
          <w:color w:val="1A1A1A"/>
          <w:sz w:val="21"/>
        </w:rPr>
        <w:t>Bain &amp; Co: AI providers need $2T in annual revenue by 2030; trajectory shows an $800B shortfall</w:t>
      </w:r>
    </w:p>
    <w:p>
      <w:pPr>
        <w:pStyle w:val="ListBullet"/>
        <w:spacing w:before="40" w:after="40"/>
        <w:ind w:left="397"/>
      </w:pPr>
      <w:r>
        <w:rPr>
          <w:color w:val="1A1A1A"/>
          <w:sz w:val="21"/>
        </w:rPr>
        <w:t>MIT Media Lab (2025): 95% of organizations see zero measurable return on AI investments</w:t>
      </w:r>
    </w:p>
    <w:p>
      <w:pPr>
        <w:pStyle w:val="ListBullet"/>
        <w:spacing w:before="40" w:after="40"/>
        <w:ind w:left="397"/>
      </w:pPr>
      <w:r>
        <w:rPr>
          <w:color w:val="1A1A1A"/>
          <w:sz w:val="21"/>
        </w:rPr>
        <w:t>PwC CEO Survey (4,454 CEOs, 95 countries): 56% report neither revenue nor cost benefits from AI</w:t>
      </w:r>
    </w:p>
    <w:p>
      <w:pPr>
        <w:pStyle w:val="ListBullet"/>
        <w:spacing w:before="40" w:after="40"/>
        <w:ind w:left="397"/>
      </w:pPr>
      <w:r>
        <w:rPr>
          <w:color w:val="1A1A1A"/>
          <w:sz w:val="21"/>
        </w:rPr>
        <w:t>Goldman Sachs: Tech needs $1T+ annual profit to justify AI investment; 2026 consensus is only $450B</w:t>
      </w:r>
    </w:p>
    <w:p>
      <w:pPr>
        <w:spacing w:before="80" w:after="160"/>
        <w:ind w:left="397"/>
      </w:pPr>
      <w:r>
        <w:rPr>
          <w:i/>
          <w:color w:val="445B6D"/>
          <w:sz w:val="19"/>
        </w:rPr>
        <w:t>The resolution: Infrastructure suppliers win regardless of whether enterprise ROI materialises immediately. The 2–4 year lag between AI tool deployment and measurable revenue impact means 2025–2027 will be dominated by infrastructure spending, not software monetisation.</w:t>
      </w:r>
    </w:p>
    <w:p>
      <w:pPr>
        <w:spacing w:before="200" w:after="80"/>
      </w:pPr>
      <w:r>
        <w:rPr>
          <w:b/>
          <w:color w:val="0D2B55"/>
          <w:sz w:val="28"/>
        </w:rPr>
        <w:t>Key Structural Tailwinds (5–10 Year Horizon)</w:t>
      </w:r>
    </w:p>
    <w:p>
      <w:r>
        <w:rPr>
          <w:b/>
          <w:color w:val="1A1A1A"/>
          <w:sz w:val="21"/>
        </w:rPr>
        <w:t xml:space="preserve">Agentic AI </w:t>
      </w:r>
      <w:r>
        <w:rPr>
          <w:color w:val="1A1A1A"/>
          <w:sz w:val="21"/>
        </w:rPr>
        <w:t>is the highest-growth segment but least proven. At $7–11B today → $139–155B by 2030. McKinsey estimates agentic systems could unlock $2.9T annually in the US alone — but realisation is more likely 2028–2032 than 2025–2027.</w:t>
      </w:r>
    </w:p>
    <w:p>
      <w:r>
        <w:rPr>
          <w:b/>
          <w:color w:val="1A1A1A"/>
          <w:sz w:val="21"/>
        </w:rPr>
        <w:t xml:space="preserve">Sovereign AI </w:t>
      </w:r>
      <w:r>
        <w:rPr>
          <w:color w:val="1A1A1A"/>
          <w:sz w:val="21"/>
        </w:rPr>
        <w:t>is an underappreciated structural driver. EU, Singapore, UAE, Saudi Arabia, India, and ASEAN are spending on national AI infrastructure independent of US hyperscalers — creating a $726B market by 2035 (28% CAGR) that benefits infrastructure vendors regardless of which AI model wins.</w:t>
      </w:r>
    </w:p>
    <w:p>
      <w:r>
        <w:rPr>
          <w:b/>
          <w:color w:val="1A1A1A"/>
          <w:sz w:val="21"/>
        </w:rPr>
        <w:t xml:space="preserve">Power &amp; cooling infrastructure </w:t>
      </w:r>
      <w:r>
        <w:rPr>
          <w:color w:val="1A1A1A"/>
          <w:sz w:val="21"/>
        </w:rPr>
        <w:t>is the binding physical constraint. Morgan Stanley forecasts a 45 GW electricity shortage by 2028. Northern Virginia, Ireland, and Singapore have already implemented data centre approval restrictions. This makes power infrastructure the true scarcity play.</w:t>
      </w:r>
    </w:p>
    <w:p>
      <w:r>
        <w:rPr>
          <w:b/>
          <w:color w:val="1A1A1A"/>
          <w:sz w:val="21"/>
        </w:rPr>
        <w:t xml:space="preserve">HBM memory </w:t>
      </w:r>
      <w:r>
        <w:rPr>
          <w:color w:val="1A1A1A"/>
          <w:sz w:val="21"/>
        </w:rPr>
        <w:t>is a multi-year supercycle. Market grows from $35B (2025) to $100B (2028) — a 3× increase in three years — with only three suppliers globally: SK Hynix (50%), Samsung (40%), Micron (10%). New capacity requires 3–4 years to build.</w:t>
      </w:r>
    </w:p>
    <w:p>
      <w:pPr>
        <w:spacing w:before="200" w:after="80"/>
      </w:pPr>
      <w:r>
        <w:rPr>
          <w:b/>
          <w:color w:val="0D2B55"/>
          <w:sz w:val="28"/>
        </w:rPr>
        <w:t>China and Commoditisation Risk</w:t>
      </w:r>
    </w:p>
    <w:p>
      <w:pPr>
        <w:spacing w:before="0" w:after="120"/>
      </w:pPr>
      <w:r>
        <w:rPr>
          <w:color w:val="1A1A1A"/>
          <w:sz w:val="21"/>
        </w:rPr>
        <w:t>DeepSeek's R1 model caused NVIDIA to lose $600B in market cap in a single day (January 2025), proving commoditisation is not theoretical. Chinese open-source models now account for ~30% of global AI usage. DeepSeek's API costs $0.028 per million tokens vs. ~$5 for GPT-4 — a 180× price differential. Open-source models broadly offer 70–90% cost savings vs. closed providers. Companies selling infrastructure (chips, power, networking, memory) benefit from increased AI usage regardless of which model is used. Cloud-native AI software vendors without distribution moats face the greatest long-run pricing pressure.</w:t>
      </w:r>
    </w:p>
    <w:p>
      <w:r>
        <w:br w:type="page"/>
      </w:r>
    </w:p>
    <w:p>
      <w:pPr>
        <w:spacing w:before="320" w:after="80"/>
        <w:pBdr>
          <w:bottom w:val="single" w:sz="12" w:space="4" w:color="C9A02C"/>
        </w:pBdr>
      </w:pPr>
      <w:r>
        <w:rPr>
          <w:b/>
          <w:color w:val="0D2B55"/>
          <w:sz w:val="36"/>
        </w:rPr>
        <w:t>Part II — Stock Universe: Conviction Ratings and 5-Year Cases</w:t>
      </w:r>
    </w:p>
    <w:p>
      <w:pPr>
        <w:spacing w:before="200" w:after="80"/>
      </w:pPr>
      <w:r>
        <w:rPr>
          <w:b/>
          <w:color w:val="1A7A4A"/>
          <w:sz w:val="28"/>
        </w:rPr>
        <w:t>Tier 1 — Highest Conviction  (Core Holdings, Buy at Reasonable Prices)</w:t>
      </w:r>
    </w:p>
    <w:p>
      <w:pPr>
        <w:spacing w:before="240" w:after="40"/>
        <w:pBdr>
          <w:bottom w:val="single" w:sz="8" w:space="4" w:color="0D2B55"/>
        </w:pBdr>
      </w:pPr>
      <w:r>
        <w:rPr>
          <w:b/>
          <w:color w:val="0D2B55"/>
          <w:sz w:val="24"/>
        </w:rPr>
        <w:t xml:space="preserve">1. Broadcom (AVGO)  </w:t>
      </w:r>
      <w:r>
        <w:rPr>
          <w:color w:val="C9A02C"/>
          <w:sz w:val="24"/>
        </w:rPr>
        <w:t>★★★★★</w:t>
      </w:r>
    </w:p>
    <w:p>
      <w:pPr>
        <w:spacing w:before="40" w:after="120"/>
      </w:pPr>
      <w:r>
        <w:rPr>
          <w:i/>
          <w:color w:val="445B6D"/>
          <w:sz w:val="19"/>
        </w:rPr>
        <w:t>TIER 1 · HIGHEST CONVICTION</w:t>
      </w:r>
    </w:p>
    <w:p>
      <w:pPr>
        <w:spacing w:before="60" w:after="60"/>
        <w:ind w:left="283"/>
      </w:pPr>
      <w:r>
        <w:rPr>
          <w:b/>
          <w:color w:val="1A1A1A"/>
          <w:sz w:val="21"/>
        </w:rPr>
        <w:t xml:space="preserve">Thesis:  </w:t>
      </w:r>
      <w:r>
        <w:rPr>
          <w:color w:val="1A1A1A"/>
          <w:sz w:val="21"/>
        </w:rPr>
        <w:t>Broadcom builds the custom silicon industry. Google's TPU, Meta's MTIA, Apple's Neural Engine, and ByteDance's custom chips all rely on Broadcom's ASIC design capability. As hyperscalers accelerate their shift away from NVIDIA GPUs toward task-specific custom chips (projected 15–25% compute market share by 2030), Broadcom is the primary beneficiary. VMware acquisition adds $4B+ recurring software revenue with high switching costs.</w:t>
      </w:r>
    </w:p>
    <w:p>
      <w:pPr>
        <w:spacing w:before="60" w:after="60"/>
        <w:ind w:left="283"/>
      </w:pPr>
      <w:r>
        <w:rPr>
          <w:b/>
          <w:color w:val="1A1A1A"/>
          <w:sz w:val="21"/>
        </w:rPr>
        <w:t xml:space="preserve">Moat:  </w:t>
      </w:r>
      <w:r>
        <w:rPr>
          <w:color w:val="1A1A1A"/>
          <w:sz w:val="21"/>
        </w:rPr>
        <w:t>Irreplaceable ASIC design expertise; multi-year hyperscaler relationships; CoPackaged Optics leadership; VMware recurring revenue base.</w:t>
      </w:r>
    </w:p>
    <w:p>
      <w:pPr>
        <w:spacing w:before="60" w:after="60"/>
        <w:ind w:left="283"/>
      </w:pPr>
      <w:r>
        <w:rPr>
          <w:b/>
          <w:color w:val="1A1A1A"/>
          <w:sz w:val="21"/>
        </w:rPr>
        <w:t xml:space="preserve">Key Risk:  </w:t>
      </w:r>
      <w:r>
        <w:rPr>
          <w:color w:val="1A1A1A"/>
          <w:sz w:val="21"/>
        </w:rPr>
        <w:t>Hyperscaler customer concentration. If a major customer insources design capability, revenue falls.</w:t>
      </w:r>
    </w:p>
    <w:p>
      <w:pPr>
        <w:spacing w:before="60" w:after="60"/>
        <w:ind w:left="283"/>
      </w:pPr>
      <w:r>
        <w:rPr>
          <w:b/>
          <w:color w:val="1A1A1A"/>
          <w:sz w:val="21"/>
        </w:rPr>
        <w:t xml:space="preserve">5-Year Bull Case:  </w:t>
      </w:r>
      <w:r>
        <w:rPr>
          <w:color w:val="1A1A1A"/>
          <w:sz w:val="21"/>
        </w:rPr>
        <w:t>Custom silicon reaches $150B+ market; Broadcom captures 30% share; earnings 3–4× current levels. Even with EV/EBITDA compression from 25× to 20×, implies 2–3× total return.</w:t>
      </w:r>
    </w:p>
    <w:p>
      <w:pPr>
        <w:spacing w:before="240" w:after="40"/>
        <w:pBdr>
          <w:bottom w:val="single" w:sz="8" w:space="4" w:color="0D2B55"/>
        </w:pBdr>
      </w:pPr>
      <w:r>
        <w:rPr>
          <w:b/>
          <w:color w:val="0D2B55"/>
          <w:sz w:val="24"/>
        </w:rPr>
        <w:t xml:space="preserve">2. Taiwan Semiconductor Manufacturing (TSM)  </w:t>
      </w:r>
      <w:r>
        <w:rPr>
          <w:color w:val="C9A02C"/>
          <w:sz w:val="24"/>
        </w:rPr>
        <w:t>★★★★★</w:t>
      </w:r>
    </w:p>
    <w:p>
      <w:pPr>
        <w:spacing w:before="40" w:after="120"/>
      </w:pPr>
      <w:r>
        <w:rPr>
          <w:i/>
          <w:color w:val="445B6D"/>
          <w:sz w:val="19"/>
        </w:rPr>
        <w:t>TIER 1 · HIGHEST CONVICTION</w:t>
      </w:r>
    </w:p>
    <w:p>
      <w:pPr>
        <w:spacing w:before="60" w:after="60"/>
        <w:ind w:left="283"/>
      </w:pPr>
      <w:r>
        <w:rPr>
          <w:b/>
          <w:color w:val="1A1A1A"/>
          <w:sz w:val="21"/>
        </w:rPr>
        <w:t xml:space="preserve">Thesis:  </w:t>
      </w:r>
      <w:r>
        <w:rPr>
          <w:color w:val="1A1A1A"/>
          <w:sz w:val="21"/>
        </w:rPr>
        <w:t>Every AI chip — NVIDIA H100/B100, AMD MI300X, Google TPU, Amazon Trainium, Apple Silicon, Broadcom ASICs — is manufactured by TSMC. There is no alternative at leading-edge nodes (3nm, 2nm). TSMC earns a toll on every dollar of AI compute investment. 57% gross margin; monopoly at leading-edge nodes; no credible competitor within 5 years.</w:t>
      </w:r>
    </w:p>
    <w:p>
      <w:pPr>
        <w:spacing w:before="60" w:after="60"/>
        <w:ind w:left="283"/>
      </w:pPr>
      <w:r>
        <w:rPr>
          <w:b/>
          <w:color w:val="1A1A1A"/>
          <w:sz w:val="21"/>
        </w:rPr>
        <w:t xml:space="preserve">Moat:  </w:t>
      </w:r>
      <w:r>
        <w:rPr>
          <w:color w:val="1A1A1A"/>
          <w:sz w:val="21"/>
        </w:rPr>
        <w:t>Technological monopoly at leading-edge nodes; multi-decade manufacturing expertise; entire AI chip ecosystem depends on TSMC. Intel is 5+ years behind; Samsung yielding poorly at leading nodes.</w:t>
      </w:r>
    </w:p>
    <w:p>
      <w:pPr>
        <w:spacing w:before="60" w:after="60"/>
        <w:ind w:left="283"/>
      </w:pPr>
      <w:r>
        <w:rPr>
          <w:b/>
          <w:color w:val="1A1A1A"/>
          <w:sz w:val="21"/>
        </w:rPr>
        <w:t xml:space="preserve">Key Risk:  </w:t>
      </w:r>
      <w:r>
        <w:rPr>
          <w:color w:val="1A1A1A"/>
          <w:sz w:val="21"/>
        </w:rPr>
        <w:t>Geopolitical risk (Taiwan Strait) is the principal risk and is systematically underpriced by consensus.</w:t>
      </w:r>
    </w:p>
    <w:p>
      <w:pPr>
        <w:spacing w:before="60" w:after="60"/>
        <w:ind w:left="283"/>
      </w:pPr>
      <w:r>
        <w:rPr>
          <w:b/>
          <w:color w:val="1A1A1A"/>
          <w:sz w:val="21"/>
        </w:rPr>
        <w:t xml:space="preserve">5-Year Bull Case:  </w:t>
      </w:r>
      <w:r>
        <w:rPr>
          <w:color w:val="1A1A1A"/>
          <w:sz w:val="21"/>
        </w:rPr>
        <w:t>AI capex cycle continues; TSMC Arizona reduces geopolitical discount; 3nm/2nm ASP ramp drives earnings. 3–4× upside if geopolitical premium normalises over 5 years.</w:t>
      </w:r>
    </w:p>
    <w:p>
      <w:pPr>
        <w:spacing w:before="240" w:after="40"/>
        <w:pBdr>
          <w:bottom w:val="single" w:sz="8" w:space="4" w:color="0D2B55"/>
        </w:pBdr>
      </w:pPr>
      <w:r>
        <w:rPr>
          <w:b/>
          <w:color w:val="0D2B55"/>
          <w:sz w:val="24"/>
        </w:rPr>
        <w:t xml:space="preserve">3. Marvell Technology (MRVL)  </w:t>
      </w:r>
      <w:r>
        <w:rPr>
          <w:color w:val="C9A02C"/>
          <w:sz w:val="24"/>
        </w:rPr>
        <w:t>★★★★☆</w:t>
      </w:r>
    </w:p>
    <w:p>
      <w:pPr>
        <w:spacing w:before="40" w:after="120"/>
      </w:pPr>
      <w:r>
        <w:rPr>
          <w:i/>
          <w:color w:val="445B6D"/>
          <w:sz w:val="19"/>
        </w:rPr>
        <w:t>TIER 1 · HIGHEST CONVICTION</w:t>
      </w:r>
    </w:p>
    <w:p>
      <w:pPr>
        <w:spacing w:before="60" w:after="60"/>
        <w:ind w:left="283"/>
      </w:pPr>
      <w:r>
        <w:rPr>
          <w:b/>
          <w:color w:val="1A1A1A"/>
          <w:sz w:val="21"/>
        </w:rPr>
        <w:t xml:space="preserve">Thesis:  </w:t>
      </w:r>
      <w:r>
        <w:rPr>
          <w:color w:val="1A1A1A"/>
          <w:sz w:val="21"/>
        </w:rPr>
        <w:t>Marvell is the quiet winner in custom AI silicon for hyperscalers. Revenue from data centre AI grew 80%+ year-over-year. The company trades at a significant discount to NVIDIA despite similar growth trajectory, simply because it has lower name recognition. Optical interconnects position Marvell perfectly for next-generation AI cluster networking.</w:t>
      </w:r>
    </w:p>
    <w:p>
      <w:pPr>
        <w:spacing w:before="60" w:after="60"/>
        <w:ind w:left="283"/>
      </w:pPr>
      <w:r>
        <w:rPr>
          <w:b/>
          <w:color w:val="1A1A1A"/>
          <w:sz w:val="21"/>
        </w:rPr>
        <w:t xml:space="preserve">Moat:  </w:t>
      </w:r>
      <w:r>
        <w:rPr>
          <w:color w:val="1A1A1A"/>
          <w:sz w:val="21"/>
        </w:rPr>
        <w:t>Deep hyperscaler design partnerships (AWS, Microsoft Azure custom silicon); optical interconnect leadership; electro-optics expertise for next-gen AI networking.</w:t>
      </w:r>
    </w:p>
    <w:p>
      <w:pPr>
        <w:spacing w:before="60" w:after="60"/>
        <w:ind w:left="283"/>
      </w:pPr>
      <w:r>
        <w:rPr>
          <w:b/>
          <w:color w:val="1A1A1A"/>
          <w:sz w:val="21"/>
        </w:rPr>
        <w:t xml:space="preserve">Key Risk:  </w:t>
      </w:r>
      <w:r>
        <w:rPr>
          <w:color w:val="1A1A1A"/>
          <w:sz w:val="21"/>
        </w:rPr>
        <w:t>Customer concentration in hyperscalers; execution risk on new product ramps; competition from Broadcom.</w:t>
      </w:r>
    </w:p>
    <w:p>
      <w:pPr>
        <w:spacing w:before="60" w:after="60"/>
        <w:ind w:left="283"/>
      </w:pPr>
      <w:r>
        <w:rPr>
          <w:b/>
          <w:color w:val="1A1A1A"/>
          <w:sz w:val="21"/>
        </w:rPr>
        <w:t xml:space="preserve">5-Year Bull Case:  </w:t>
      </w:r>
      <w:r>
        <w:rPr>
          <w:color w:val="1A1A1A"/>
          <w:sz w:val="21"/>
        </w:rPr>
        <w:t>Data centre revenue becomes 80%+ of total; optical interconnects become standard in all AI clusters; Marvell re-rates to Broadcom-comparable multiples — implying 2–3× upside.</w:t>
      </w:r>
    </w:p>
    <w:p>
      <w:pPr>
        <w:spacing w:before="240" w:after="40"/>
        <w:pBdr>
          <w:bottom w:val="single" w:sz="8" w:space="4" w:color="0D2B55"/>
        </w:pBdr>
      </w:pPr>
      <w:r>
        <w:rPr>
          <w:b/>
          <w:color w:val="0D2B55"/>
          <w:sz w:val="24"/>
        </w:rPr>
        <w:t xml:space="preserve">4. Micron Technology (MU)  </w:t>
      </w:r>
      <w:r>
        <w:rPr>
          <w:color w:val="C9A02C"/>
          <w:sz w:val="24"/>
        </w:rPr>
        <w:t>★★★★☆</w:t>
      </w:r>
    </w:p>
    <w:p>
      <w:pPr>
        <w:spacing w:before="40" w:after="120"/>
      </w:pPr>
      <w:r>
        <w:rPr>
          <w:i/>
          <w:color w:val="445B6D"/>
          <w:sz w:val="19"/>
        </w:rPr>
        <w:t>TIER 1 · MOST UNDERVALUED</w:t>
      </w:r>
    </w:p>
    <w:p>
      <w:pPr>
        <w:spacing w:before="60" w:after="60"/>
        <w:ind w:left="283"/>
      </w:pPr>
      <w:r>
        <w:rPr>
          <w:b/>
          <w:color w:val="1A1A1A"/>
          <w:sz w:val="21"/>
        </w:rPr>
        <w:t xml:space="preserve">Thesis:  </w:t>
      </w:r>
      <w:r>
        <w:rPr>
          <w:color w:val="1A1A1A"/>
          <w:sz w:val="21"/>
        </w:rPr>
        <w:t>Micron is the most undervalued direct AI play. The HBM market grows from $35B (2025) to $100B (2028). With only three global suppliers and supply sold out through 2026, Micron is gaining share from 10% to a projected 20–25%. Unlike NVIDIA, Micron trades at a modest multiple despite being a direct beneficiary of the same supply constraint.</w:t>
      </w:r>
    </w:p>
    <w:p>
      <w:pPr>
        <w:spacing w:before="60" w:after="60"/>
        <w:ind w:left="283"/>
      </w:pPr>
      <w:r>
        <w:rPr>
          <w:b/>
          <w:color w:val="1A1A1A"/>
          <w:sz w:val="21"/>
        </w:rPr>
        <w:t xml:space="preserve">Moat:  </w:t>
      </w:r>
      <w:r>
        <w:rPr>
          <w:color w:val="1A1A1A"/>
          <w:sz w:val="21"/>
        </w:rPr>
        <w:t>One of only three global HBM suppliers; US-based manufacturing attractive for national security procurement; vertically integrated DRAM expertise.</w:t>
      </w:r>
    </w:p>
    <w:p>
      <w:pPr>
        <w:spacing w:before="60" w:after="60"/>
        <w:ind w:left="283"/>
      </w:pPr>
      <w:r>
        <w:rPr>
          <w:b/>
          <w:color w:val="1A1A1A"/>
          <w:sz w:val="21"/>
        </w:rPr>
        <w:t xml:space="preserve">Key Risk:  </w:t>
      </w:r>
      <w:r>
        <w:rPr>
          <w:color w:val="1A1A1A"/>
          <w:sz w:val="21"/>
        </w:rPr>
        <w:t>Memory is cyclical; DRAM prices can collapse in downturns. HBM is sticky but not immune to long-run pricing pressure.</w:t>
      </w:r>
    </w:p>
    <w:p>
      <w:pPr>
        <w:spacing w:before="60" w:after="60"/>
        <w:ind w:left="283"/>
      </w:pPr>
      <w:r>
        <w:rPr>
          <w:b/>
          <w:color w:val="1A1A1A"/>
          <w:sz w:val="21"/>
        </w:rPr>
        <w:t xml:space="preserve">5-Year Bull Case:  </w:t>
      </w:r>
      <w:r>
        <w:rPr>
          <w:color w:val="1A1A1A"/>
          <w:sz w:val="21"/>
        </w:rPr>
        <w:t>HBM captures 25%+ of Micron's revenue at premium margins; Micron re-rates from ~4× to 6–7× book as HBM becomes dominant. 3–5× potential in bull scenario.</w:t>
      </w:r>
    </w:p>
    <w:p>
      <w:pPr>
        <w:spacing w:before="240" w:after="40"/>
        <w:pBdr>
          <w:bottom w:val="single" w:sz="8" w:space="4" w:color="0D2B55"/>
        </w:pBdr>
      </w:pPr>
      <w:r>
        <w:rPr>
          <w:b/>
          <w:color w:val="0D2B55"/>
          <w:sz w:val="24"/>
        </w:rPr>
        <w:t xml:space="preserve">5. Arista Networks (ANET)  </w:t>
      </w:r>
      <w:r>
        <w:rPr>
          <w:color w:val="C9A02C"/>
          <w:sz w:val="24"/>
        </w:rPr>
        <w:t>★★★★☆</w:t>
      </w:r>
    </w:p>
    <w:p>
      <w:pPr>
        <w:spacing w:before="40" w:after="120"/>
      </w:pPr>
      <w:r>
        <w:rPr>
          <w:i/>
          <w:color w:val="445B6D"/>
          <w:sz w:val="19"/>
        </w:rPr>
        <w:t>TIER 1 · HIGHEST CONVICTION</w:t>
      </w:r>
    </w:p>
    <w:p>
      <w:pPr>
        <w:spacing w:before="60" w:after="60"/>
        <w:ind w:left="283"/>
      </w:pPr>
      <w:r>
        <w:rPr>
          <w:b/>
          <w:color w:val="1A1A1A"/>
          <w:sz w:val="21"/>
        </w:rPr>
        <w:t xml:space="preserve">Thesis:  </w:t>
      </w:r>
      <w:r>
        <w:rPr>
          <w:color w:val="1A1A1A"/>
          <w:sz w:val="21"/>
        </w:rPr>
        <w:t>AI training clusters require massive, low-latency networking between thousands of GPUs. Arista's switches and EOS operating system are the standard for large-scale AI clusters. Hyperscalers building 100,000+ GPU clusters are Arista's direct customers. Management has a track record of underpromising and overdelivering; strong free cash flow; clean accounting.</w:t>
      </w:r>
    </w:p>
    <w:p>
      <w:pPr>
        <w:spacing w:before="60" w:after="60"/>
        <w:ind w:left="283"/>
      </w:pPr>
      <w:r>
        <w:rPr>
          <w:b/>
          <w:color w:val="1A1A1A"/>
          <w:sz w:val="21"/>
        </w:rPr>
        <w:t xml:space="preserve">Moat:  </w:t>
      </w:r>
      <w:r>
        <w:rPr>
          <w:color w:val="1A1A1A"/>
          <w:sz w:val="21"/>
        </w:rPr>
        <w:t>Dominant position in 400G/800G switching for AI workloads; EOS software creates switching costs; strong hyperscaler relationships (Microsoft, Meta, Google).</w:t>
      </w:r>
    </w:p>
    <w:p>
      <w:pPr>
        <w:spacing w:before="60" w:after="60"/>
        <w:ind w:left="283"/>
      </w:pPr>
      <w:r>
        <w:rPr>
          <w:b/>
          <w:color w:val="1A1A1A"/>
          <w:sz w:val="21"/>
        </w:rPr>
        <w:t xml:space="preserve">Key Risk:  </w:t>
      </w:r>
      <w:r>
        <w:rPr>
          <w:color w:val="1A1A1A"/>
          <w:sz w:val="21"/>
        </w:rPr>
        <w:t>Cisco/Juniper competition. If InfiniBand wins over Ethernet for AI networking, Arista's share could be constrained.</w:t>
      </w:r>
    </w:p>
    <w:p>
      <w:pPr>
        <w:spacing w:before="60" w:after="60"/>
        <w:ind w:left="283"/>
      </w:pPr>
      <w:r>
        <w:rPr>
          <w:b/>
          <w:color w:val="1A1A1A"/>
          <w:sz w:val="21"/>
        </w:rPr>
        <w:t xml:space="preserve">5-Year Bull Case:  </w:t>
      </w:r>
      <w:r>
        <w:rPr>
          <w:color w:val="1A1A1A"/>
          <w:sz w:val="21"/>
        </w:rPr>
        <w:t>AI networking spend grows 30%+ annually; Arista captures 40%+ share; revenue doubles by 2029. Conservative DCF supports 60–80% upside from fair entry.</w:t>
      </w:r>
    </w:p>
    <w:p>
      <w:pPr>
        <w:spacing w:before="240" w:after="40"/>
        <w:pBdr>
          <w:bottom w:val="single" w:sz="8" w:space="4" w:color="0D2B55"/>
        </w:pBdr>
      </w:pPr>
      <w:r>
        <w:rPr>
          <w:b/>
          <w:color w:val="0D2B55"/>
          <w:sz w:val="24"/>
        </w:rPr>
        <w:t xml:space="preserve">6. Vertiv Holdings (VRT)  </w:t>
      </w:r>
      <w:r>
        <w:rPr>
          <w:color w:val="C9A02C"/>
          <w:sz w:val="24"/>
        </w:rPr>
        <w:t>★★★★☆</w:t>
      </w:r>
    </w:p>
    <w:p>
      <w:pPr>
        <w:spacing w:before="40" w:after="120"/>
      </w:pPr>
      <w:r>
        <w:rPr>
          <w:i/>
          <w:color w:val="445B6D"/>
          <w:sz w:val="19"/>
        </w:rPr>
        <w:t>TIER 1 · MOST OVERLOOKED</w:t>
      </w:r>
    </w:p>
    <w:p>
      <w:pPr>
        <w:spacing w:before="60" w:after="60"/>
        <w:ind w:left="283"/>
      </w:pPr>
      <w:r>
        <w:rPr>
          <w:b/>
          <w:color w:val="1A1A1A"/>
          <w:sz w:val="21"/>
        </w:rPr>
        <w:t xml:space="preserve">Thesis:  </w:t>
      </w:r>
      <w:r>
        <w:rPr>
          <w:color w:val="1A1A1A"/>
          <w:sz w:val="21"/>
        </w:rPr>
        <w:t>Power distribution, UPS systems, and liquid cooling for data centres are the most overlooked AI infrastructure plays. Morgan Stanley projects a 45 GW power shortage by 2028. Every megawatt of AI compute requires 3–4× the power density of traditional servers. Vertiv supplies the critical power and cooling infrastructure that makes AI data centres physically possible. Order backlog growing faster than revenue, providing multi-year visibility.</w:t>
      </w:r>
    </w:p>
    <w:p>
      <w:pPr>
        <w:spacing w:before="60" w:after="60"/>
        <w:ind w:left="283"/>
      </w:pPr>
      <w:r>
        <w:rPr>
          <w:b/>
          <w:color w:val="1A1A1A"/>
          <w:sz w:val="21"/>
        </w:rPr>
        <w:t xml:space="preserve">Moat:  </w:t>
      </w:r>
      <w:r>
        <w:rPr>
          <w:color w:val="1A1A1A"/>
          <w:sz w:val="21"/>
        </w:rPr>
        <w:t>Long-standing OEM relationships with data centre operators; complex engineering products with high switching costs; duopoly with Eaton in certain segments.</w:t>
      </w:r>
    </w:p>
    <w:p>
      <w:pPr>
        <w:spacing w:before="60" w:after="60"/>
        <w:ind w:left="283"/>
      </w:pPr>
      <w:r>
        <w:rPr>
          <w:b/>
          <w:color w:val="1A1A1A"/>
          <w:sz w:val="21"/>
        </w:rPr>
        <w:t xml:space="preserve">Key Risk:  </w:t>
      </w:r>
      <w:r>
        <w:rPr>
          <w:color w:val="1A1A1A"/>
          <w:sz w:val="21"/>
        </w:rPr>
        <w:t>Input cost inflation (copper, steel); supply chain disruptions; new entrant competition.</w:t>
      </w:r>
    </w:p>
    <w:p>
      <w:pPr>
        <w:spacing w:before="60" w:after="60"/>
        <w:ind w:left="283"/>
      </w:pPr>
      <w:r>
        <w:rPr>
          <w:b/>
          <w:color w:val="1A1A1A"/>
          <w:sz w:val="21"/>
        </w:rPr>
        <w:t xml:space="preserve">5-Year Bull Case:  </w:t>
      </w:r>
      <w:r>
        <w:rPr>
          <w:color w:val="1A1A1A"/>
          <w:sz w:val="21"/>
        </w:rPr>
        <w:t>Power density requirements grow 3× with liquid-cooled AI racks; Vertiv TAM expands faster than the chip market; revenue grows to $10B+ by 2030. 2–3× potential.</w:t>
      </w:r>
    </w:p>
    <w:p>
      <w:pPr>
        <w:spacing w:before="240" w:after="40"/>
        <w:pBdr>
          <w:bottom w:val="single" w:sz="8" w:space="4" w:color="0D2B55"/>
        </w:pBdr>
      </w:pPr>
      <w:r>
        <w:rPr>
          <w:b/>
          <w:color w:val="0D2B55"/>
          <w:sz w:val="24"/>
        </w:rPr>
        <w:t xml:space="preserve">7. Alphabet / Google (GOOGL)  </w:t>
      </w:r>
      <w:r>
        <w:rPr>
          <w:color w:val="C9A02C"/>
          <w:sz w:val="24"/>
        </w:rPr>
        <w:t>★★★★☆</w:t>
      </w:r>
    </w:p>
    <w:p>
      <w:pPr>
        <w:spacing w:before="40" w:after="120"/>
      </w:pPr>
      <w:r>
        <w:rPr>
          <w:i/>
          <w:color w:val="445B6D"/>
          <w:sz w:val="19"/>
        </w:rPr>
        <w:t>TIER 1 · MOST UNDERVALUED LARGE-CAP</w:t>
      </w:r>
    </w:p>
    <w:p>
      <w:pPr>
        <w:spacing w:before="60" w:after="60"/>
        <w:ind w:left="283"/>
      </w:pPr>
      <w:r>
        <w:rPr>
          <w:b/>
          <w:color w:val="1A1A1A"/>
          <w:sz w:val="21"/>
        </w:rPr>
        <w:t xml:space="preserve">Thesis:  </w:t>
      </w:r>
      <w:r>
        <w:rPr>
          <w:color w:val="1A1A1A"/>
          <w:sz w:val="21"/>
        </w:rPr>
        <w:t>Alphabet is the most undervalued large-cap AI play. Google developed the Transformer architecture (the foundation of all modern LLMs), has the deepest AI research bench (DeepMind, Google Brain), and owns the most powerful proprietary chip in production (TPU v5). Waymo is 3–5 years ahead of any autonomous vehicle competitor. Despite all this, GOOGL trades at a lower forward P/E than Microsoft.</w:t>
      </w:r>
    </w:p>
    <w:p>
      <w:pPr>
        <w:spacing w:before="60" w:after="60"/>
        <w:ind w:left="283"/>
      </w:pPr>
      <w:r>
        <w:rPr>
          <w:b/>
          <w:color w:val="1A1A1A"/>
          <w:sz w:val="21"/>
        </w:rPr>
        <w:t xml:space="preserve">Moat:  </w:t>
      </w:r>
      <w:r>
        <w:rPr>
          <w:color w:val="1A1A1A"/>
          <w:sz w:val="21"/>
        </w:rPr>
        <w:t>Google Search monopoly (70% share); YouTube (2nd largest search engine globally); GCP + TPU competitive advantage; DeepMind research pipeline; Waymo robotaxi lead.</w:t>
      </w:r>
    </w:p>
    <w:p>
      <w:pPr>
        <w:spacing w:before="60" w:after="60"/>
        <w:ind w:left="283"/>
      </w:pPr>
      <w:r>
        <w:rPr>
          <w:b/>
          <w:color w:val="1A1A1A"/>
          <w:sz w:val="21"/>
        </w:rPr>
        <w:t xml:space="preserve">Key Risk:  </w:t>
      </w:r>
      <w:r>
        <w:rPr>
          <w:color w:val="1A1A1A"/>
          <w:sz w:val="21"/>
        </w:rPr>
        <w:t>AI search overhaul could temporarily cannibalize ad revenue during the 2–3 year transition. Antitrust regulatory risk is real.</w:t>
      </w:r>
    </w:p>
    <w:p>
      <w:pPr>
        <w:spacing w:before="60" w:after="60"/>
        <w:ind w:left="283"/>
      </w:pPr>
      <w:r>
        <w:rPr>
          <w:b/>
          <w:color w:val="1A1A1A"/>
          <w:sz w:val="21"/>
        </w:rPr>
        <w:t xml:space="preserve">5-Year Bull Case:  </w:t>
      </w:r>
      <w:r>
        <w:rPr>
          <w:color w:val="1A1A1A"/>
          <w:sz w:val="21"/>
        </w:rPr>
        <w:t>AI Overviews expand search monetisation; Waymo reaches commercial scale; Cloud AI gains share vs. Azure; GOOGL re-rates to MSFT-comparable multiples. 2–3× upside.</w:t>
      </w:r>
    </w:p>
    <w:p>
      <w:pPr>
        <w:spacing w:before="240" w:after="40"/>
        <w:pBdr>
          <w:bottom w:val="single" w:sz="8" w:space="4" w:color="0D2B55"/>
        </w:pBdr>
      </w:pPr>
      <w:r>
        <w:rPr>
          <w:b/>
          <w:color w:val="0D2B55"/>
          <w:sz w:val="24"/>
        </w:rPr>
        <w:t xml:space="preserve">8. Microsoft (MSFT)  </w:t>
      </w:r>
      <w:r>
        <w:rPr>
          <w:color w:val="C9A02C"/>
          <w:sz w:val="24"/>
        </w:rPr>
        <w:t>★★★★☆</w:t>
      </w:r>
    </w:p>
    <w:p>
      <w:pPr>
        <w:spacing w:before="40" w:after="120"/>
      </w:pPr>
      <w:r>
        <w:rPr>
          <w:i/>
          <w:color w:val="445B6D"/>
          <w:sz w:val="19"/>
        </w:rPr>
        <w:t>TIER 1 · MOST EXECUTION-CERTAIN</w:t>
      </w:r>
    </w:p>
    <w:p>
      <w:pPr>
        <w:spacing w:before="60" w:after="60"/>
        <w:ind w:left="283"/>
      </w:pPr>
      <w:r>
        <w:rPr>
          <w:b/>
          <w:color w:val="1A1A1A"/>
          <w:sz w:val="21"/>
        </w:rPr>
        <w:t xml:space="preserve">Thesis:  </w:t>
      </w:r>
      <w:r>
        <w:rPr>
          <w:color w:val="1A1A1A"/>
          <w:sz w:val="21"/>
        </w:rPr>
        <w:t>Microsoft is the most execution-certain large-cap AI investment. Azure AI growing 35%+ annually; Copilot embedded across Office 365 (1.3B users); OpenAI partnership provides early access to frontier models. Enterprise distribution moat — IT decision-makers default to Microsoft — creates a durable AI adoption channel competitors cannot replicate.</w:t>
      </w:r>
    </w:p>
    <w:p>
      <w:pPr>
        <w:spacing w:before="60" w:after="60"/>
        <w:ind w:left="283"/>
      </w:pPr>
      <w:r>
        <w:rPr>
          <w:b/>
          <w:color w:val="1A1A1A"/>
          <w:sz w:val="21"/>
        </w:rPr>
        <w:t xml:space="preserve">Moat:  </w:t>
      </w:r>
      <w:r>
        <w:rPr>
          <w:color w:val="1A1A1A"/>
          <w:sz w:val="21"/>
        </w:rPr>
        <w:t>Enterprise software lock-in (Teams, Office, Azure); GitHub Copilot in 1M+ developer seats; OpenAI partnership with right of first refusal; government cloud contracts.</w:t>
      </w:r>
    </w:p>
    <w:p>
      <w:pPr>
        <w:spacing w:before="60" w:after="60"/>
        <w:ind w:left="283"/>
      </w:pPr>
      <w:r>
        <w:rPr>
          <w:b/>
          <w:color w:val="1A1A1A"/>
          <w:sz w:val="21"/>
        </w:rPr>
        <w:t xml:space="preserve">Key Risk:  </w:t>
      </w:r>
      <w:r>
        <w:rPr>
          <w:color w:val="1A1A1A"/>
          <w:sz w:val="21"/>
        </w:rPr>
        <w:t>OpenAI relationship is complex; if OpenAI competes directly with consumers, Microsoft loses differentiation. Azure faces competition from AWS and GCP.</w:t>
      </w:r>
    </w:p>
    <w:p>
      <w:pPr>
        <w:spacing w:before="60" w:after="60"/>
        <w:ind w:left="283"/>
      </w:pPr>
      <w:r>
        <w:rPr>
          <w:b/>
          <w:color w:val="1A1A1A"/>
          <w:sz w:val="21"/>
        </w:rPr>
        <w:t xml:space="preserve">5-Year Bull Case:  </w:t>
      </w:r>
      <w:r>
        <w:rPr>
          <w:color w:val="1A1A1A"/>
          <w:sz w:val="21"/>
        </w:rPr>
        <w:t>Copilot reaches 300M paid seats at $30/month; Azure AI doubles market share; earnings grow 15–20% CAGR. 1.5–2× upside, steady compounder.</w:t>
      </w:r>
    </w:p>
    <w:p>
      <w:r>
        <w:br w:type="page"/>
      </w:r>
    </w:p>
    <w:p>
      <w:pPr>
        <w:spacing w:before="200" w:after="80"/>
      </w:pPr>
      <w:r>
        <w:rPr>
          <w:b/>
          <w:color w:val="445B6D"/>
          <w:sz w:val="28"/>
        </w:rPr>
        <w:t>Tier 2 — Strong Business, Valuation-Dependent</w:t>
      </w:r>
    </w:p>
    <w:p>
      <w:pPr>
        <w:spacing w:before="240" w:after="40"/>
        <w:pBdr>
          <w:bottom w:val="single" w:sz="8" w:space="4" w:color="0D2B55"/>
        </w:pBdr>
      </w:pPr>
      <w:r>
        <w:rPr>
          <w:b/>
          <w:color w:val="0D2B55"/>
          <w:sz w:val="24"/>
        </w:rPr>
        <w:t xml:space="preserve">9. NVIDIA (NVDA)  </w:t>
      </w:r>
      <w:r>
        <w:rPr>
          <w:color w:val="C9A02C"/>
          <w:sz w:val="24"/>
        </w:rPr>
        <w:t>★★★☆☆</w:t>
      </w:r>
    </w:p>
    <w:p>
      <w:pPr>
        <w:spacing w:before="40" w:after="120"/>
      </w:pPr>
      <w:r>
        <w:rPr>
          <w:i/>
          <w:color w:val="445B6D"/>
          <w:sz w:val="19"/>
        </w:rPr>
        <w:t>TIER 2 · GREAT BUSINESS · DANGEROUS ENTRY POINT</w:t>
      </w:r>
    </w:p>
    <w:p>
      <w:pPr>
        <w:spacing w:before="60" w:after="60"/>
        <w:ind w:left="283"/>
      </w:pPr>
      <w:r>
        <w:rPr>
          <w:b/>
          <w:color w:val="1A1A1A"/>
          <w:sz w:val="21"/>
        </w:rPr>
        <w:t xml:space="preserve">Thesis:  </w:t>
      </w:r>
      <w:r>
        <w:rPr>
          <w:color w:val="1A1A1A"/>
          <w:sz w:val="21"/>
        </w:rPr>
        <w:t>NVIDIA has the best AI chip business in the world. The CUDA software ecosystem creates switching costs that no competitor has broken in a decade. H100/H200/Blackwell GPUs are the gold standard for AI training. Data centre revenue grew from $14B (2023) to $87B+ (2025 annualised).</w:t>
      </w:r>
    </w:p>
    <w:p>
      <w:pPr>
        <w:spacing w:before="60" w:after="60"/>
        <w:ind w:left="283"/>
      </w:pPr>
      <w:r>
        <w:rPr>
          <w:b/>
          <w:color w:val="1A1A1A"/>
          <w:sz w:val="21"/>
        </w:rPr>
        <w:t xml:space="preserve">Moat:  </w:t>
      </w:r>
      <w:r>
        <w:rPr>
          <w:color w:val="1A1A1A"/>
          <w:sz w:val="21"/>
        </w:rPr>
        <w:t>CUDA software ecosystem; dominant share of AI training market; brand and supply-chain relationships; NVIDIA Enterprise software licensing.</w:t>
      </w:r>
    </w:p>
    <w:p>
      <w:pPr>
        <w:spacing w:before="60" w:after="60"/>
        <w:ind w:left="283"/>
      </w:pPr>
      <w:r>
        <w:rPr>
          <w:b/>
          <w:color w:val="1A1A1A"/>
          <w:sz w:val="21"/>
        </w:rPr>
        <w:t xml:space="preserve">Key Risk:  </w:t>
      </w:r>
      <w:r>
        <w:rPr>
          <w:color w:val="1A1A1A"/>
          <w:sz w:val="21"/>
        </w:rPr>
        <w:t>Cisco 2000 parallel is credible: at 47–60× earnings and a $4T+ market cap (14% of US GDP), the stock mirrors Cisco at peak of the dot-com bubble. AMD and custom silicon are taking share. Power constraint is a growth limiter.</w:t>
      </w:r>
    </w:p>
    <w:p>
      <w:pPr>
        <w:spacing w:before="60" w:after="60"/>
        <w:ind w:left="283"/>
      </w:pPr>
      <w:r>
        <w:rPr>
          <w:b/>
          <w:color w:val="1A1A1A"/>
          <w:sz w:val="21"/>
        </w:rPr>
        <w:t xml:space="preserve">5-Year Bull Case:  </w:t>
      </w:r>
      <w:r>
        <w:rPr>
          <w:color w:val="1A1A1A"/>
          <w:sz w:val="21"/>
        </w:rPr>
        <w:t>Add aggressively on 40–50% drawdowns. At peak multiples, risk/reward is unfavourable vs. infrastructure peers with similar AI exposure at lower valuations.</w:t>
      </w:r>
    </w:p>
    <w:p>
      <w:pPr>
        <w:spacing w:before="240" w:after="40"/>
        <w:pBdr>
          <w:bottom w:val="single" w:sz="8" w:space="4" w:color="0D2B55"/>
        </w:pBdr>
      </w:pPr>
      <w:r>
        <w:rPr>
          <w:b/>
          <w:color w:val="0D2B55"/>
          <w:sz w:val="24"/>
        </w:rPr>
        <w:t xml:space="preserve">10. Meta Platforms (META)  </w:t>
      </w:r>
      <w:r>
        <w:rPr>
          <w:color w:val="C9A02C"/>
          <w:sz w:val="24"/>
        </w:rPr>
        <w:t>★★★☆☆</w:t>
      </w:r>
    </w:p>
    <w:p>
      <w:pPr>
        <w:spacing w:before="40" w:after="120"/>
      </w:pPr>
      <w:r>
        <w:rPr>
          <w:i/>
          <w:color w:val="445B6D"/>
          <w:sz w:val="19"/>
        </w:rPr>
        <w:t>TIER 2 · STRONG BUSINESS</w:t>
      </w:r>
    </w:p>
    <w:p>
      <w:pPr>
        <w:spacing w:before="60" w:after="60"/>
        <w:ind w:left="283"/>
      </w:pPr>
      <w:r>
        <w:rPr>
          <w:b/>
          <w:color w:val="1A1A1A"/>
          <w:sz w:val="21"/>
        </w:rPr>
        <w:t xml:space="preserve">Thesis:  </w:t>
      </w:r>
      <w:r>
        <w:rPr>
          <w:color w:val="1A1A1A"/>
          <w:sz w:val="21"/>
        </w:rPr>
        <w:t>Meta is the cheapest megacap AI stock by P/E. AI-driven advertising is materially improving ad targeting efficiency and revenue per user. Llama open-source ecosystem strengthens the platform without requiring direct monetisation. Core business generates extraordinary free cash flow.</w:t>
      </w:r>
    </w:p>
    <w:p>
      <w:pPr>
        <w:spacing w:before="60" w:after="60"/>
        <w:ind w:left="283"/>
      </w:pPr>
      <w:r>
        <w:rPr>
          <w:b/>
          <w:color w:val="1A1A1A"/>
          <w:sz w:val="21"/>
        </w:rPr>
        <w:t xml:space="preserve">Moat:  </w:t>
      </w:r>
      <w:r>
        <w:rPr>
          <w:color w:val="1A1A1A"/>
          <w:sz w:val="21"/>
        </w:rPr>
        <w:t>AI advertising ARPU growth; Llama ecosystem creates AI app distribution moat; 3B+ user scale.</w:t>
      </w:r>
    </w:p>
    <w:p>
      <w:pPr>
        <w:spacing w:before="60" w:after="60"/>
        <w:ind w:left="283"/>
      </w:pPr>
      <w:r>
        <w:rPr>
          <w:b/>
          <w:color w:val="1A1A1A"/>
          <w:sz w:val="21"/>
        </w:rPr>
        <w:t xml:space="preserve">Key Risk:  </w:t>
      </w:r>
      <w:r>
        <w:rPr>
          <w:color w:val="1A1A1A"/>
          <w:sz w:val="21"/>
        </w:rPr>
        <w:t>Reality Labs is a persistent cash burn. Regulatory risk across global markets.</w:t>
      </w:r>
    </w:p>
    <w:p>
      <w:pPr>
        <w:spacing w:before="60" w:after="60"/>
        <w:ind w:left="283"/>
      </w:pPr>
      <w:r>
        <w:rPr>
          <w:b/>
          <w:color w:val="1A1A1A"/>
          <w:sz w:val="21"/>
        </w:rPr>
        <w:t xml:space="preserve">5-Year Bull Case:  </w:t>
      </w:r>
      <w:r>
        <w:rPr>
          <w:color w:val="1A1A1A"/>
          <w:sz w:val="21"/>
        </w:rPr>
        <w:t>AI advertising ARPU grows 15–20% annually; Llama ecosystem creates AI app distribution moat. 1.5–2.5× upside.</w:t>
      </w:r>
    </w:p>
    <w:p>
      <w:pPr>
        <w:spacing w:before="240" w:after="40"/>
        <w:pBdr>
          <w:bottom w:val="single" w:sz="8" w:space="4" w:color="0D2B55"/>
        </w:pBdr>
      </w:pPr>
      <w:r>
        <w:rPr>
          <w:b/>
          <w:color w:val="0D2B55"/>
          <w:sz w:val="24"/>
        </w:rPr>
        <w:t xml:space="preserve">11. Amazon (AMZN)  </w:t>
      </w:r>
      <w:r>
        <w:rPr>
          <w:color w:val="C9A02C"/>
          <w:sz w:val="24"/>
        </w:rPr>
        <w:t>★★★☆☆</w:t>
      </w:r>
    </w:p>
    <w:p>
      <w:pPr>
        <w:spacing w:before="40" w:after="120"/>
      </w:pPr>
      <w:r>
        <w:rPr>
          <w:i/>
          <w:color w:val="445B6D"/>
          <w:sz w:val="19"/>
        </w:rPr>
        <w:t>TIER 2 · STRONG BUSINESS</w:t>
      </w:r>
    </w:p>
    <w:p>
      <w:pPr>
        <w:spacing w:before="60" w:after="60"/>
        <w:ind w:left="283"/>
      </w:pPr>
      <w:r>
        <w:rPr>
          <w:b/>
          <w:color w:val="1A1A1A"/>
          <w:sz w:val="21"/>
        </w:rPr>
        <w:t xml:space="preserve">Thesis:  </w:t>
      </w:r>
      <w:r>
        <w:rPr>
          <w:color w:val="1A1A1A"/>
          <w:sz w:val="21"/>
        </w:rPr>
        <w:t>AWS is the largest cloud provider building AI infrastructure at scale. Trainium custom chips for training and Inferentia for inference create a cost-competitive alternative to NVIDIA for Amazon's own workloads. Bedrock provides enterprise AI API access. Retail AI generates measurable cost savings.</w:t>
      </w:r>
    </w:p>
    <w:p>
      <w:pPr>
        <w:spacing w:before="60" w:after="60"/>
        <w:ind w:left="283"/>
      </w:pPr>
      <w:r>
        <w:rPr>
          <w:b/>
          <w:color w:val="1A1A1A"/>
          <w:sz w:val="21"/>
        </w:rPr>
        <w:t xml:space="preserve">Moat:  </w:t>
      </w:r>
      <w:r>
        <w:rPr>
          <w:color w:val="1A1A1A"/>
          <w:sz w:val="21"/>
        </w:rPr>
        <w:t>Largest cloud by revenue; Trainium/Inferentia reduce NVIDIA dependence; Bedrock enterprise platform; retail AI efficiency gains.</w:t>
      </w:r>
    </w:p>
    <w:p>
      <w:pPr>
        <w:spacing w:before="60" w:after="60"/>
        <w:ind w:left="283"/>
      </w:pPr>
      <w:r>
        <w:rPr>
          <w:b/>
          <w:color w:val="1A1A1A"/>
          <w:sz w:val="21"/>
        </w:rPr>
        <w:t xml:space="preserve">Key Risk:  </w:t>
      </w:r>
      <w:r>
        <w:rPr>
          <w:color w:val="1A1A1A"/>
          <w:sz w:val="21"/>
        </w:rPr>
        <w:t>AWS AI faces intense competition from Azure and GCP. AWS margin expansion assumptions may be aggressive.</w:t>
      </w:r>
    </w:p>
    <w:p>
      <w:pPr>
        <w:spacing w:before="60" w:after="60"/>
        <w:ind w:left="283"/>
      </w:pPr>
      <w:r>
        <w:rPr>
          <w:b/>
          <w:color w:val="1A1A1A"/>
          <w:sz w:val="21"/>
        </w:rPr>
        <w:t xml:space="preserve">5-Year Bull Case:  </w:t>
      </w:r>
      <w:r>
        <w:rPr>
          <w:color w:val="1A1A1A"/>
          <w:sz w:val="21"/>
        </w:rPr>
        <w:t>AWS AI services grow to $100B+ revenue; Trainium reduces NVIDIA dependency; Amazon becomes dominant inference platform. 1.5–2× upside.</w:t>
      </w:r>
    </w:p>
    <w:p>
      <w:pPr>
        <w:spacing w:before="240" w:after="40"/>
        <w:pBdr>
          <w:bottom w:val="single" w:sz="8" w:space="4" w:color="0D2B55"/>
        </w:pBdr>
      </w:pPr>
      <w:r>
        <w:rPr>
          <w:b/>
          <w:color w:val="0D2B55"/>
          <w:sz w:val="24"/>
        </w:rPr>
        <w:t xml:space="preserve">12. Advanced Micro Devices (AMD)  </w:t>
      </w:r>
      <w:r>
        <w:rPr>
          <w:color w:val="C9A02C"/>
          <w:sz w:val="24"/>
        </w:rPr>
        <w:t>★★★☆☆</w:t>
      </w:r>
    </w:p>
    <w:p>
      <w:pPr>
        <w:spacing w:before="40" w:after="120"/>
      </w:pPr>
      <w:r>
        <w:rPr>
          <w:i/>
          <w:color w:val="445B6D"/>
          <w:sz w:val="19"/>
        </w:rPr>
        <w:t>TIER 2 · BEST NVIDIA ALTERNATIVE</w:t>
      </w:r>
    </w:p>
    <w:p>
      <w:pPr>
        <w:spacing w:before="60" w:after="60"/>
        <w:ind w:left="283"/>
      </w:pPr>
      <w:r>
        <w:rPr>
          <w:b/>
          <w:color w:val="1A1A1A"/>
          <w:sz w:val="21"/>
        </w:rPr>
        <w:t xml:space="preserve">Thesis:  </w:t>
      </w:r>
      <w:r>
        <w:rPr>
          <w:color w:val="1A1A1A"/>
          <w:sz w:val="21"/>
        </w:rPr>
        <w:t>AMD is the only credible GPU alternative to NVIDIA at scale. MI300X in production at Microsoft and Meta generating $2B+ in revenue. MI350/MI400 roadmaps provide a competitive path through 2027. Trades at a fraction of NVIDIA's multiple with similar growth dynamics.</w:t>
      </w:r>
    </w:p>
    <w:p>
      <w:pPr>
        <w:spacing w:before="60" w:after="60"/>
        <w:ind w:left="283"/>
      </w:pPr>
      <w:r>
        <w:rPr>
          <w:b/>
          <w:color w:val="1A1A1A"/>
          <w:sz w:val="21"/>
        </w:rPr>
        <w:t xml:space="preserve">Moat:  </w:t>
      </w:r>
      <w:r>
        <w:rPr>
          <w:color w:val="1A1A1A"/>
          <w:sz w:val="21"/>
        </w:rPr>
        <w:t>Only viable GPU alternative at scale; competitive x86 CPU franchise; growing data centre GPU revenue.</w:t>
      </w:r>
    </w:p>
    <w:p>
      <w:pPr>
        <w:spacing w:before="60" w:after="60"/>
        <w:ind w:left="283"/>
      </w:pPr>
      <w:r>
        <w:rPr>
          <w:b/>
          <w:color w:val="1A1A1A"/>
          <w:sz w:val="21"/>
        </w:rPr>
        <w:t xml:space="preserve">Key Risk:  </w:t>
      </w:r>
      <w:r>
        <w:rPr>
          <w:color w:val="1A1A1A"/>
          <w:sz w:val="21"/>
        </w:rPr>
        <w:t>AMD has repeatedly missed execution timelines on GPU products. ROCm software ecosystem remains inferior to CUDA, limiting software adoption outside cost-sensitive deployments.</w:t>
      </w:r>
    </w:p>
    <w:p>
      <w:pPr>
        <w:spacing w:before="60" w:after="60"/>
        <w:ind w:left="283"/>
      </w:pPr>
      <w:r>
        <w:rPr>
          <w:b/>
          <w:color w:val="1A1A1A"/>
          <w:sz w:val="21"/>
        </w:rPr>
        <w:t xml:space="preserve">5-Year Bull Case:  </w:t>
      </w:r>
      <w:r>
        <w:rPr>
          <w:color w:val="1A1A1A"/>
          <w:sz w:val="21"/>
        </w:rPr>
        <w:t>AMD captures 15–20% of data centre GPU market; AI chip TAM is large enough this still represents enormous revenue growth. 2–3× potential if software execution improves.</w:t>
      </w:r>
    </w:p>
    <w:p>
      <w:r>
        <w:br w:type="page"/>
      </w:r>
    </w:p>
    <w:p>
      <w:pPr>
        <w:spacing w:before="200" w:after="80"/>
      </w:pPr>
      <w:r>
        <w:rPr>
          <w:b/>
          <w:color w:val="B5650A"/>
          <w:sz w:val="28"/>
        </w:rPr>
        <w:t>Tier 3 — High Risk / High Reward  (Speculative, Small Position Sizing)</w:t>
      </w:r>
    </w:p>
    <w:p>
      <w:pPr>
        <w:spacing w:before="240" w:after="40"/>
        <w:pBdr>
          <w:bottom w:val="single" w:sz="8" w:space="4" w:color="0D2B55"/>
        </w:pBdr>
      </w:pPr>
      <w:r>
        <w:rPr>
          <w:b/>
          <w:color w:val="0D2B55"/>
          <w:sz w:val="24"/>
        </w:rPr>
        <w:t xml:space="preserve">13. Constellation Energy / Vistra Energy (CEG / VST)  </w:t>
      </w:r>
      <w:r>
        <w:rPr>
          <w:color w:val="C9A02C"/>
          <w:sz w:val="24"/>
        </w:rPr>
        <w:t>★★★☆☆</w:t>
      </w:r>
    </w:p>
    <w:p>
      <w:pPr>
        <w:spacing w:before="40" w:after="120"/>
      </w:pPr>
      <w:r>
        <w:rPr>
          <w:i/>
          <w:color w:val="445B6D"/>
          <w:sz w:val="19"/>
        </w:rPr>
        <w:t>TIER 3 · NON-CONSENSUS PICK</w:t>
      </w:r>
    </w:p>
    <w:p>
      <w:pPr>
        <w:spacing w:before="60" w:after="60"/>
        <w:ind w:left="283"/>
      </w:pPr>
      <w:r>
        <w:rPr>
          <w:b/>
          <w:color w:val="1A1A1A"/>
          <w:sz w:val="21"/>
        </w:rPr>
        <w:t xml:space="preserve">Thesis:  </w:t>
      </w:r>
      <w:r>
        <w:rPr>
          <w:color w:val="1A1A1A"/>
          <w:sz w:val="21"/>
        </w:rPr>
        <w:t>Nuclear power is becoming the preferred energy source for AI data centres. Microsoft signed a 20-year PPA with Constellation for Three Mile Island restart. Google has signed similar agreements. AI hyperscalers need 24/7 carbon-free power that cannot be delivered by intermittent wind or solar. Nuclear plants produce power at ~$30/MWh once construction is amortised — below grid parity.</w:t>
      </w:r>
    </w:p>
    <w:p>
      <w:pPr>
        <w:spacing w:before="60" w:after="60"/>
        <w:ind w:left="283"/>
      </w:pPr>
      <w:r>
        <w:rPr>
          <w:b/>
          <w:color w:val="1A1A1A"/>
          <w:sz w:val="21"/>
        </w:rPr>
        <w:t xml:space="preserve">Moat:  </w:t>
      </w:r>
      <w:r>
        <w:rPr>
          <w:color w:val="1A1A1A"/>
          <w:sz w:val="21"/>
        </w:rPr>
        <w:t>Long-duration contracted PPAs with hyperscalers; baseload carbon-free power; irreplaceable for data centre decarbonisation mandates.</w:t>
      </w:r>
    </w:p>
    <w:p>
      <w:pPr>
        <w:spacing w:before="60" w:after="60"/>
        <w:ind w:left="283"/>
      </w:pPr>
      <w:r>
        <w:rPr>
          <w:b/>
          <w:color w:val="1A1A1A"/>
          <w:sz w:val="21"/>
        </w:rPr>
        <w:t xml:space="preserve">Key Risk:  </w:t>
      </w:r>
      <w:r>
        <w:rPr>
          <w:color w:val="1A1A1A"/>
          <w:sz w:val="21"/>
        </w:rPr>
        <w:t>Regulatory risk for nuclear extensions; construction cost overruns for new capacity; political risk to nuclear licensing.</w:t>
      </w:r>
    </w:p>
    <w:p>
      <w:pPr>
        <w:spacing w:before="60" w:after="60"/>
        <w:ind w:left="283"/>
      </w:pPr>
      <w:r>
        <w:rPr>
          <w:b/>
          <w:color w:val="1A1A1A"/>
          <w:sz w:val="21"/>
        </w:rPr>
        <w:t xml:space="preserve">5-Year Bull Case:  </w:t>
      </w:r>
      <w:r>
        <w:rPr>
          <w:color w:val="1A1A1A"/>
          <w:sz w:val="21"/>
        </w:rPr>
        <w:t>Nuclear PPAs become standard for AI data centres; both companies re-price as AI infrastructure rather than utilities. 2–4× potential over 5 years.</w:t>
      </w:r>
    </w:p>
    <w:p>
      <w:pPr>
        <w:spacing w:before="240" w:after="40"/>
        <w:pBdr>
          <w:bottom w:val="single" w:sz="8" w:space="4" w:color="0D2B55"/>
        </w:pBdr>
      </w:pPr>
      <w:r>
        <w:rPr>
          <w:b/>
          <w:color w:val="0D2B55"/>
          <w:sz w:val="24"/>
        </w:rPr>
        <w:t xml:space="preserve">14. Arm Holdings (ARM)  </w:t>
      </w:r>
      <w:r>
        <w:rPr>
          <w:color w:val="C9A02C"/>
          <w:sz w:val="24"/>
        </w:rPr>
        <w:t>★★☆☆☆</w:t>
      </w:r>
    </w:p>
    <w:p>
      <w:pPr>
        <w:spacing w:before="40" w:after="120"/>
      </w:pPr>
      <w:r>
        <w:rPr>
          <w:i/>
          <w:color w:val="445B6D"/>
          <w:sz w:val="19"/>
        </w:rPr>
        <w:t>TIER 3 · SPECULATIVE</w:t>
      </w:r>
    </w:p>
    <w:p>
      <w:pPr>
        <w:spacing w:before="60" w:after="60"/>
        <w:ind w:left="283"/>
      </w:pPr>
      <w:r>
        <w:rPr>
          <w:b/>
          <w:color w:val="1A1A1A"/>
          <w:sz w:val="21"/>
        </w:rPr>
        <w:t xml:space="preserve">Thesis:  </w:t>
      </w:r>
      <w:r>
        <w:rPr>
          <w:color w:val="1A1A1A"/>
          <w:sz w:val="21"/>
        </w:rPr>
        <w:t>ARM's instruction set architecture is in virtually every AI chip and mobile device. As hyperscalers design custom silicon (Apple M-chips, AWS Graviton, Ampere Computing), they all pay ARM royalties. The royalty model provides revenue growth as silicon becomes more AI-capable.</w:t>
      </w:r>
    </w:p>
    <w:p>
      <w:pPr>
        <w:spacing w:before="60" w:after="60"/>
        <w:ind w:left="283"/>
      </w:pPr>
      <w:r>
        <w:rPr>
          <w:b/>
          <w:color w:val="1A1A1A"/>
          <w:sz w:val="21"/>
        </w:rPr>
        <w:t xml:space="preserve">Moat:  </w:t>
      </w:r>
      <w:r>
        <w:rPr>
          <w:color w:val="1A1A1A"/>
          <w:sz w:val="21"/>
        </w:rPr>
        <w:t>Architecture licensing monopoly for mobile and embedded AI; royalty model scales with compute growth.</w:t>
      </w:r>
    </w:p>
    <w:p>
      <w:pPr>
        <w:spacing w:before="60" w:after="60"/>
        <w:ind w:left="283"/>
      </w:pPr>
      <w:r>
        <w:rPr>
          <w:b/>
          <w:color w:val="1A1A1A"/>
          <w:sz w:val="21"/>
        </w:rPr>
        <w:t xml:space="preserve">Key Risk:  </w:t>
      </w:r>
      <w:r>
        <w:rPr>
          <w:color w:val="1A1A1A"/>
          <w:sz w:val="21"/>
        </w:rPr>
        <w:t>Trades at 50–60× forward earnings — extremely rich. Royalty rate increases face customer pushback. RISC-V open-source architecture is a long-term structural threat.</w:t>
      </w:r>
    </w:p>
    <w:p>
      <w:pPr>
        <w:spacing w:before="60" w:after="60"/>
        <w:ind w:left="283"/>
      </w:pPr>
      <w:r>
        <w:rPr>
          <w:b/>
          <w:color w:val="1A1A1A"/>
          <w:sz w:val="21"/>
        </w:rPr>
        <w:t xml:space="preserve">5-Year Bull Case:  </w:t>
      </w:r>
      <w:r>
        <w:rPr>
          <w:color w:val="1A1A1A"/>
          <w:sz w:val="21"/>
        </w:rPr>
        <w:t>Royalty ramp accelerates as AI chips multiply; ARM re-rates as AI infrastructure play. High upside but extreme valuation risk on entry.</w:t>
      </w:r>
    </w:p>
    <w:p>
      <w:pPr>
        <w:spacing w:before="240" w:after="40"/>
        <w:pBdr>
          <w:bottom w:val="single" w:sz="8" w:space="4" w:color="0D2B55"/>
        </w:pBdr>
      </w:pPr>
      <w:r>
        <w:rPr>
          <w:b/>
          <w:color w:val="0D2B55"/>
          <w:sz w:val="24"/>
        </w:rPr>
        <w:t xml:space="preserve">15. Palantir Technologies (PLTR)  </w:t>
      </w:r>
      <w:r>
        <w:rPr>
          <w:color w:val="C9A02C"/>
          <w:sz w:val="24"/>
        </w:rPr>
        <w:t>★★☆☆☆</w:t>
      </w:r>
    </w:p>
    <w:p>
      <w:pPr>
        <w:spacing w:before="40" w:after="120"/>
      </w:pPr>
      <w:r>
        <w:rPr>
          <w:i/>
          <w:color w:val="445B6D"/>
          <w:sz w:val="19"/>
        </w:rPr>
        <w:t>TIER 3 · AVOID ADDING AT CURRENT PRICES</w:t>
      </w:r>
    </w:p>
    <w:p>
      <w:pPr>
        <w:spacing w:before="60" w:after="60"/>
        <w:ind w:left="283"/>
      </w:pPr>
      <w:r>
        <w:rPr>
          <w:b/>
          <w:color w:val="1A1A1A"/>
          <w:sz w:val="21"/>
        </w:rPr>
        <w:t xml:space="preserve">Thesis:  </w:t>
      </w:r>
      <w:r>
        <w:rPr>
          <w:color w:val="1A1A1A"/>
          <w:sz w:val="21"/>
        </w:rPr>
        <w:t>Palantir's AIP (Artificial Intelligence Platform) is genuinely creating enterprise value. US government contracts are durable. Commercial revenue is growing strongly.</w:t>
      </w:r>
    </w:p>
    <w:p>
      <w:pPr>
        <w:spacing w:before="60" w:after="60"/>
        <w:ind w:left="283"/>
      </w:pPr>
      <w:r>
        <w:rPr>
          <w:b/>
          <w:color w:val="1A1A1A"/>
          <w:sz w:val="21"/>
        </w:rPr>
        <w:t xml:space="preserve">Moat:  </w:t>
      </w:r>
      <w:r>
        <w:rPr>
          <w:color w:val="1A1A1A"/>
          <w:sz w:val="21"/>
        </w:rPr>
        <w:t>Deep US government relationships; AIP platform with genuine enterprise use cases; strong brand in defence and intelligence markets.</w:t>
      </w:r>
    </w:p>
    <w:p>
      <w:pPr>
        <w:spacing w:before="60" w:after="60"/>
        <w:ind w:left="283"/>
      </w:pPr>
      <w:r>
        <w:rPr>
          <w:b/>
          <w:color w:val="1A1A1A"/>
          <w:sz w:val="21"/>
        </w:rPr>
        <w:t xml:space="preserve">Key Risk:  </w:t>
      </w:r>
      <w:r>
        <w:rPr>
          <w:color w:val="1A1A1A"/>
          <w:sz w:val="21"/>
        </w:rPr>
        <w:t>Forward P/S of 110× (some sources cite 140×). Forward P/E of 173×. Morningstar fair value: $100/share. At 110× P/S, an 80% drawdown is the mathematical outcome if Palantir re-rates to 20× P/S — which remains a high multiple. Sustaining 110× P/S requires 50%+ uninterrupted growth for years.</w:t>
      </w:r>
    </w:p>
    <w:p>
      <w:pPr>
        <w:spacing w:before="60" w:after="60"/>
        <w:ind w:left="283"/>
      </w:pPr>
      <w:r>
        <w:rPr>
          <w:b/>
          <w:color w:val="1A1A1A"/>
          <w:sz w:val="21"/>
        </w:rPr>
        <w:t xml:space="preserve">5-Year Bull Case:  </w:t>
      </w:r>
      <w:r>
        <w:rPr>
          <w:color w:val="1A1A1A"/>
          <w:sz w:val="21"/>
        </w:rPr>
        <w:t>Outstanding business, catastrophic valuation. Monitor for 60–70% drawdowns that would create a reasonable entry point.</w:t>
      </w:r>
    </w:p>
    <w:p>
      <w:pPr>
        <w:spacing w:before="200" w:after="80"/>
      </w:pPr>
      <w:r>
        <w:rPr>
          <w:b/>
          <w:color w:val="C0392B"/>
          <w:sz w:val="28"/>
        </w:rPr>
        <w:t>Avoid / Underweight</w:t>
      </w:r>
    </w:p>
    <w:tbl>
      <w:tblPr>
        <w:tblStyle w:val="TableGrid"/>
        <w:tblW w:type="auto" w:w="0"/>
        <w:jc w:val="center"/>
        <w:tblLook w:firstColumn="1" w:firstRow="1" w:lastColumn="0" w:lastRow="0" w:noHBand="0" w:noVBand="1" w:val="04A0"/>
      </w:tblPr>
      <w:tblGrid>
        <w:gridCol w:w="3022"/>
        <w:gridCol w:w="3022"/>
        <w:gridCol w:w="3022"/>
      </w:tblGrid>
      <w:tr>
        <w:tc>
          <w:tcPr>
            <w:tcW w:type="dxa" w:w="2592"/>
            <w:shd w:val="clear" w:color="auto" w:fill="0D2B55"/>
            <w:vAlign w:val="center"/>
          </w:tcPr>
          <w:p>
            <w:pPr>
              <w:spacing w:before="60" w:after="60"/>
              <w:jc w:val="center"/>
            </w:pPr>
            <w:r>
              <w:rPr>
                <w:b/>
                <w:color w:val="FFFFFF"/>
                <w:sz w:val="19"/>
              </w:rPr>
              <w:t>Stock</w:t>
            </w:r>
          </w:p>
        </w:tc>
        <w:tc>
          <w:tcPr>
            <w:tcW w:type="dxa" w:w="1296"/>
            <w:shd w:val="clear" w:color="auto" w:fill="0D2B55"/>
            <w:vAlign w:val="center"/>
          </w:tcPr>
          <w:p>
            <w:pPr>
              <w:spacing w:before="60" w:after="60"/>
              <w:jc w:val="center"/>
            </w:pPr>
            <w:r>
              <w:rPr>
                <w:b/>
                <w:color w:val="FFFFFF"/>
                <w:sz w:val="19"/>
              </w:rPr>
              <w:t>Ticker</w:t>
            </w:r>
          </w:p>
        </w:tc>
        <w:tc>
          <w:tcPr>
            <w:tcW w:type="dxa" w:w="6048"/>
            <w:shd w:val="clear" w:color="auto" w:fill="0D2B55"/>
            <w:vAlign w:val="center"/>
          </w:tcPr>
          <w:p>
            <w:pPr>
              <w:spacing w:before="60" w:after="60"/>
              <w:jc w:val="center"/>
            </w:pPr>
            <w:r>
              <w:rPr>
                <w:b/>
                <w:color w:val="FFFFFF"/>
                <w:sz w:val="19"/>
              </w:rPr>
              <w:t>Reason to Avoid</w:t>
            </w:r>
          </w:p>
        </w:tc>
      </w:tr>
      <w:tr>
        <w:tc>
          <w:tcPr>
            <w:tcW w:type="dxa" w:w="2592"/>
            <w:shd w:val="clear" w:color="auto" w:fill="FFFFFF"/>
            <w:vAlign w:val="center"/>
          </w:tcPr>
          <w:p>
            <w:pPr>
              <w:spacing w:before="40" w:after="40"/>
              <w:jc w:val="left"/>
            </w:pPr>
            <w:r>
              <w:rPr>
                <w:color w:val="1A1A1A"/>
                <w:sz w:val="18"/>
              </w:rPr>
              <w:t>C3.ai</w:t>
            </w:r>
          </w:p>
        </w:tc>
        <w:tc>
          <w:tcPr>
            <w:tcW w:type="dxa" w:w="1296"/>
            <w:shd w:val="clear" w:color="auto" w:fill="FFFFFF"/>
            <w:vAlign w:val="center"/>
          </w:tcPr>
          <w:p>
            <w:pPr>
              <w:spacing w:before="40" w:after="40"/>
              <w:jc w:val="center"/>
            </w:pPr>
            <w:r>
              <w:rPr>
                <w:color w:val="1A1A1A"/>
                <w:sz w:val="18"/>
              </w:rPr>
              <w:t>AI</w:t>
            </w:r>
          </w:p>
        </w:tc>
        <w:tc>
          <w:tcPr>
            <w:tcW w:type="dxa" w:w="6048"/>
            <w:shd w:val="clear" w:color="auto" w:fill="FFFFFF"/>
            <w:vAlign w:val="center"/>
          </w:tcPr>
          <w:p>
            <w:pPr>
              <w:spacing w:before="40" w:after="40"/>
              <w:jc w:val="center"/>
            </w:pPr>
            <w:r>
              <w:rPr>
                <w:color w:val="1A1A1A"/>
                <w:sz w:val="18"/>
              </w:rPr>
              <w:t>No clear profitability path; commoditised by hyperscaler AI services; 15%+ growth insufficient to justify losses</w:t>
            </w:r>
          </w:p>
        </w:tc>
      </w:tr>
      <w:tr>
        <w:tc>
          <w:tcPr>
            <w:tcW w:type="dxa" w:w="2592"/>
            <w:shd w:val="clear" w:color="auto" w:fill="F0F4F8"/>
            <w:vAlign w:val="center"/>
          </w:tcPr>
          <w:p>
            <w:pPr>
              <w:spacing w:before="40" w:after="40"/>
              <w:jc w:val="left"/>
            </w:pPr>
            <w:r>
              <w:rPr>
                <w:color w:val="1A1A1A"/>
                <w:sz w:val="18"/>
              </w:rPr>
              <w:t>Super Micro Computer</w:t>
            </w:r>
          </w:p>
        </w:tc>
        <w:tc>
          <w:tcPr>
            <w:tcW w:type="dxa" w:w="1296"/>
            <w:shd w:val="clear" w:color="auto" w:fill="F0F4F8"/>
            <w:vAlign w:val="center"/>
          </w:tcPr>
          <w:p>
            <w:pPr>
              <w:spacing w:before="40" w:after="40"/>
              <w:jc w:val="center"/>
            </w:pPr>
            <w:r>
              <w:rPr>
                <w:color w:val="1A1A1A"/>
                <w:sz w:val="18"/>
              </w:rPr>
              <w:t>SMCI</w:t>
            </w:r>
          </w:p>
        </w:tc>
        <w:tc>
          <w:tcPr>
            <w:tcW w:type="dxa" w:w="6048"/>
            <w:shd w:val="clear" w:color="auto" w:fill="F0F4F8"/>
            <w:vAlign w:val="center"/>
          </w:tcPr>
          <w:p>
            <w:pPr>
              <w:spacing w:before="40" w:after="40"/>
              <w:jc w:val="center"/>
            </w:pPr>
            <w:r>
              <w:rPr>
                <w:color w:val="1A1A1A"/>
                <w:sz w:val="18"/>
              </w:rPr>
              <w:t>Hindenburg Research accounting allegations; executive rehiring concerns; 26% single-day drop; accounting resolution incomplete</w:t>
            </w:r>
          </w:p>
        </w:tc>
      </w:tr>
      <w:tr>
        <w:tc>
          <w:tcPr>
            <w:tcW w:type="dxa" w:w="2592"/>
            <w:shd w:val="clear" w:color="auto" w:fill="FFFFFF"/>
            <w:vAlign w:val="center"/>
          </w:tcPr>
          <w:p>
            <w:pPr>
              <w:spacing w:before="40" w:after="40"/>
              <w:jc w:val="left"/>
            </w:pPr>
            <w:r>
              <w:rPr>
                <w:color w:val="1A1A1A"/>
                <w:sz w:val="18"/>
              </w:rPr>
              <w:t>SoundHound AI</w:t>
            </w:r>
          </w:p>
        </w:tc>
        <w:tc>
          <w:tcPr>
            <w:tcW w:type="dxa" w:w="1296"/>
            <w:shd w:val="clear" w:color="auto" w:fill="FFFFFF"/>
            <w:vAlign w:val="center"/>
          </w:tcPr>
          <w:p>
            <w:pPr>
              <w:spacing w:before="40" w:after="40"/>
              <w:jc w:val="center"/>
            </w:pPr>
            <w:r>
              <w:rPr>
                <w:color w:val="1A1A1A"/>
                <w:sz w:val="18"/>
              </w:rPr>
              <w:t>SOUN</w:t>
            </w:r>
          </w:p>
        </w:tc>
        <w:tc>
          <w:tcPr>
            <w:tcW w:type="dxa" w:w="6048"/>
            <w:shd w:val="clear" w:color="auto" w:fill="FFFFFF"/>
            <w:vAlign w:val="center"/>
          </w:tcPr>
          <w:p>
            <w:pPr>
              <w:spacing w:before="40" w:after="40"/>
              <w:jc w:val="center"/>
            </w:pPr>
            <w:r>
              <w:rPr>
                <w:color w:val="1A1A1A"/>
                <w:sz w:val="18"/>
              </w:rPr>
              <w:t>Speculative voice AI with no durable moat; faces competition from Apple, Google, Amazon; no pricing power</w:t>
            </w:r>
          </w:p>
        </w:tc>
      </w:tr>
    </w:tbl>
    <w:p/>
    <w:p>
      <w:r>
        <w:br w:type="page"/>
      </w:r>
    </w:p>
    <w:p>
      <w:pPr>
        <w:spacing w:before="320" w:after="80"/>
        <w:pBdr>
          <w:bottom w:val="single" w:sz="12" w:space="4" w:color="C9A02C"/>
        </w:pBdr>
      </w:pPr>
      <w:r>
        <w:rPr>
          <w:b/>
          <w:color w:val="0D2B55"/>
          <w:sz w:val="36"/>
        </w:rPr>
        <w:t>Part III — What Consensus Gets Wrong (Bias Analysis)</w:t>
      </w:r>
    </w:p>
    <w:p>
      <w:pPr>
        <w:spacing w:before="200" w:after="80"/>
      </w:pPr>
      <w:r>
        <w:rPr>
          <w:b/>
          <w:color w:val="0D2B55"/>
          <w:sz w:val="28"/>
        </w:rPr>
        <w:t>Consensus Is Too Bullish On</w:t>
      </w:r>
    </w:p>
    <w:p>
      <w:r>
        <w:rPr>
          <w:b/>
          <w:color w:val="1A1A1A"/>
          <w:sz w:val="21"/>
        </w:rPr>
        <w:t xml:space="preserve">1. Agentic AI near-term revenue. </w:t>
      </w:r>
      <w:r>
        <w:rPr>
          <w:sz w:val="21"/>
        </w:rPr>
        <w:t>The 40–49% CAGR forecasts assume workflow redesign scales rapidly. McKinsey's own data shows 2/3 of enterprises are stuck in "pilot purgatory" — running AI tools without operational redesign. The agentic AI revenue ramp is more likely 2028–2032 than 2025–2027.</w:t>
      </w:r>
    </w:p>
    <w:p>
      <w:r>
        <w:rPr>
          <w:b/>
          <w:color w:val="1A1A1A"/>
          <w:sz w:val="21"/>
        </w:rPr>
        <w:t xml:space="preserve">2. NVIDIA's monopoly permanence. </w:t>
      </w:r>
      <w:r>
        <w:rPr>
          <w:sz w:val="21"/>
        </w:rPr>
        <w:t>Sell-side analysts systematically underestimate custom silicon adoption because it doesn't generate investment banking fees. AMD is executing better than consensus gives it credit for. The 15–25% market share shift to custom ASICs by 2030 is underpriced in most models.</w:t>
      </w:r>
    </w:p>
    <w:p>
      <w:r>
        <w:rPr>
          <w:b/>
          <w:color w:val="1A1A1A"/>
          <w:sz w:val="21"/>
        </w:rPr>
        <w:t xml:space="preserve">3. Revenue materialising to justify capex. </w:t>
      </w:r>
      <w:r>
        <w:rPr>
          <w:sz w:val="21"/>
        </w:rPr>
        <w:t>JPMorgan's $650B annual revenue requirement and Bain's $800B shortfall projection receive far less attention than they deserve. The 56% of CEOs who reported zero ROI (PwC, 4,454 respondents) is not cherry-picked data — it is one of the largest CEO surveys ever conducted.</w:t>
      </w:r>
    </w:p>
    <w:p>
      <w:pPr>
        <w:spacing w:before="200" w:after="80"/>
      </w:pPr>
      <w:r>
        <w:rPr>
          <w:b/>
          <w:color w:val="0D2B55"/>
          <w:sz w:val="28"/>
        </w:rPr>
        <w:t>Consensus Is Too Bearish On</w:t>
      </w:r>
    </w:p>
    <w:p>
      <w:r>
        <w:rPr>
          <w:b/>
          <w:color w:val="1A1A1A"/>
          <w:sz w:val="21"/>
        </w:rPr>
        <w:t xml:space="preserve">1. TSMC's geopolitical discount. </w:t>
      </w:r>
      <w:r>
        <w:rPr>
          <w:sz w:val="21"/>
        </w:rPr>
        <w:t>TSMC trades at a lower multiple than US peers due to Taiwan Strait risk. This risk is real, but TSMC's Arizona fabs and its irreplaceable position in global chip supply create mutual deterrence. The upside if the geopolitical premium compresses is substantial.</w:t>
      </w:r>
    </w:p>
    <w:p>
      <w:r>
        <w:rPr>
          <w:b/>
          <w:color w:val="1A1A1A"/>
          <w:sz w:val="21"/>
        </w:rPr>
        <w:t xml:space="preserve">2. Micron's HBM position. </w:t>
      </w:r>
      <w:r>
        <w:rPr>
          <w:sz w:val="21"/>
        </w:rPr>
        <w:t>Coverage of Micron is dominated by commodity DRAM analysts who treat HBM as a cyclical product. It is not. HBM is a specialty product with 3-year lead times, only three global suppliers, and demand sold out through 2026. This is a multi-year structural story that cyclical frameworks miss entirely.</w:t>
      </w:r>
    </w:p>
    <w:p>
      <w:r>
        <w:rPr>
          <w:b/>
          <w:color w:val="1A1A1A"/>
          <w:sz w:val="21"/>
        </w:rPr>
        <w:t xml:space="preserve">3. Power infrastructure stocks. </w:t>
      </w:r>
      <w:r>
        <w:rPr>
          <w:sz w:val="21"/>
        </w:rPr>
        <w:t>Vertiv, Constellation Energy, and Vistra receive almost no coverage from AI analysts. The power constraint is more binding than the chip constraint in several regions already. Companies solving the power constraint are priced as utilities rather than AI infrastructure.</w:t>
      </w:r>
    </w:p>
    <w:p>
      <w:r>
        <w:rPr>
          <w:b/>
          <w:color w:val="1A1A1A"/>
          <w:sz w:val="21"/>
        </w:rPr>
        <w:t xml:space="preserve">4. Alphabet's AI capabilities. </w:t>
      </w:r>
      <w:r>
        <w:rPr>
          <w:sz w:val="21"/>
        </w:rPr>
        <w:t>Google's TPU is arguably superior to NVIDIA's H100 for inference workloads. Google has been training LLMs since 2017. Waymo is 3–5 years ahead of any competitor. DeepMind has produced more landmark AI research than any other organisation. Yet GOOGL trades at a lower P/E than Microsoft.</w:t>
      </w:r>
    </w:p>
    <w:p>
      <w:r>
        <w:br w:type="page"/>
      </w:r>
    </w:p>
    <w:p>
      <w:pPr>
        <w:spacing w:before="320" w:after="80"/>
        <w:pBdr>
          <w:bottom w:val="single" w:sz="12" w:space="4" w:color="C9A02C"/>
        </w:pBdr>
      </w:pPr>
      <w:r>
        <w:rPr>
          <w:b/>
          <w:color w:val="0D2B55"/>
          <w:sz w:val="36"/>
        </w:rPr>
        <w:t>Part IV — 5-Year Scenario Analysis</w:t>
      </w:r>
    </w:p>
    <w:p>
      <w:pPr>
        <w:spacing w:before="80" w:after="160"/>
        <w:ind w:left="397"/>
      </w:pPr>
      <w:r>
        <w:rPr>
          <w:i/>
          <w:color w:val="445B6D"/>
          <w:sz w:val="19"/>
        </w:rPr>
        <w:t>Expected values are illustrative probability-weighted outcomes, not DCF-based price targets. Returns reflect directional magnitude, not precise forecasts.</w:t>
      </w:r>
    </w:p>
    <w:tbl>
      <w:tblPr>
        <w:tblStyle w:val="TableGrid"/>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4032"/>
            <w:shd w:val="clear" w:color="auto" w:fill="0D2B55"/>
            <w:vAlign w:val="center"/>
          </w:tcPr>
          <w:p>
            <w:pPr>
              <w:spacing w:before="60" w:after="60"/>
              <w:jc w:val="center"/>
            </w:pPr>
            <w:r>
              <w:rPr>
                <w:b/>
                <w:color w:val="FFFFFF"/>
                <w:sz w:val="19"/>
              </w:rPr>
              <w:t>Scenario</w:t>
            </w:r>
          </w:p>
        </w:tc>
        <w:tc>
          <w:tcPr>
            <w:tcW w:type="dxa" w:w="720"/>
            <w:shd w:val="clear" w:color="auto" w:fill="0D2B55"/>
            <w:vAlign w:val="center"/>
          </w:tcPr>
          <w:p>
            <w:pPr>
              <w:spacing w:before="60" w:after="60"/>
              <w:jc w:val="center"/>
            </w:pPr>
            <w:r>
              <w:rPr>
                <w:b/>
                <w:color w:val="FFFFFF"/>
                <w:sz w:val="19"/>
              </w:rPr>
              <w:t>Prob.</w:t>
            </w:r>
          </w:p>
        </w:tc>
        <w:tc>
          <w:tcPr>
            <w:tcW w:type="dxa" w:w="864"/>
            <w:shd w:val="clear" w:color="auto" w:fill="0D2B55"/>
            <w:vAlign w:val="center"/>
          </w:tcPr>
          <w:p>
            <w:pPr>
              <w:spacing w:before="60" w:after="60"/>
              <w:jc w:val="center"/>
            </w:pPr>
            <w:r>
              <w:rPr>
                <w:b/>
                <w:color w:val="FFFFFF"/>
                <w:sz w:val="19"/>
              </w:rPr>
              <w:t>AVGO</w:t>
            </w:r>
          </w:p>
        </w:tc>
        <w:tc>
          <w:tcPr>
            <w:tcW w:type="dxa" w:w="864"/>
            <w:shd w:val="clear" w:color="auto" w:fill="0D2B55"/>
            <w:vAlign w:val="center"/>
          </w:tcPr>
          <w:p>
            <w:pPr>
              <w:spacing w:before="60" w:after="60"/>
              <w:jc w:val="center"/>
            </w:pPr>
            <w:r>
              <w:rPr>
                <w:b/>
                <w:color w:val="FFFFFF"/>
                <w:sz w:val="19"/>
              </w:rPr>
              <w:t>TSM</w:t>
            </w:r>
          </w:p>
        </w:tc>
        <w:tc>
          <w:tcPr>
            <w:tcW w:type="dxa" w:w="864"/>
            <w:shd w:val="clear" w:color="auto" w:fill="0D2B55"/>
            <w:vAlign w:val="center"/>
          </w:tcPr>
          <w:p>
            <w:pPr>
              <w:spacing w:before="60" w:after="60"/>
              <w:jc w:val="center"/>
            </w:pPr>
            <w:r>
              <w:rPr>
                <w:b/>
                <w:color w:val="FFFFFF"/>
                <w:sz w:val="19"/>
              </w:rPr>
              <w:t>MU</w:t>
            </w:r>
          </w:p>
        </w:tc>
        <w:tc>
          <w:tcPr>
            <w:tcW w:type="dxa" w:w="864"/>
            <w:shd w:val="clear" w:color="auto" w:fill="0D2B55"/>
            <w:vAlign w:val="center"/>
          </w:tcPr>
          <w:p>
            <w:pPr>
              <w:spacing w:before="60" w:after="60"/>
              <w:jc w:val="center"/>
            </w:pPr>
            <w:r>
              <w:rPr>
                <w:b/>
                <w:color w:val="FFFFFF"/>
                <w:sz w:val="19"/>
              </w:rPr>
              <w:t>ANET</w:t>
            </w:r>
          </w:p>
        </w:tc>
        <w:tc>
          <w:tcPr>
            <w:tcW w:type="dxa" w:w="864"/>
            <w:shd w:val="clear" w:color="auto" w:fill="0D2B55"/>
            <w:vAlign w:val="center"/>
          </w:tcPr>
          <w:p>
            <w:pPr>
              <w:spacing w:before="60" w:after="60"/>
              <w:jc w:val="center"/>
            </w:pPr>
            <w:r>
              <w:rPr>
                <w:b/>
                <w:color w:val="FFFFFF"/>
                <w:sz w:val="19"/>
              </w:rPr>
              <w:t>VRT</w:t>
            </w:r>
          </w:p>
        </w:tc>
        <w:tc>
          <w:tcPr>
            <w:tcW w:type="dxa" w:w="936"/>
            <w:shd w:val="clear" w:color="auto" w:fill="0D2B55"/>
            <w:vAlign w:val="center"/>
          </w:tcPr>
          <w:p>
            <w:pPr>
              <w:spacing w:before="60" w:after="60"/>
              <w:jc w:val="center"/>
            </w:pPr>
            <w:r>
              <w:rPr>
                <w:b/>
                <w:color w:val="FFFFFF"/>
                <w:sz w:val="19"/>
              </w:rPr>
              <w:t>GOOGL</w:t>
            </w:r>
          </w:p>
        </w:tc>
        <w:tc>
          <w:tcPr>
            <w:tcW w:type="dxa" w:w="936"/>
            <w:shd w:val="clear" w:color="auto" w:fill="0D2B55"/>
            <w:vAlign w:val="center"/>
          </w:tcPr>
          <w:p>
            <w:pPr>
              <w:spacing w:before="60" w:after="60"/>
              <w:jc w:val="center"/>
            </w:pPr>
            <w:r>
              <w:rPr>
                <w:b/>
                <w:color w:val="FFFFFF"/>
                <w:sz w:val="19"/>
              </w:rPr>
              <w:t>NVDA</w:t>
            </w:r>
          </w:p>
        </w:tc>
        <w:tc>
          <w:tcPr>
            <w:tcW w:type="dxa" w:w="792"/>
            <w:shd w:val="clear" w:color="auto" w:fill="0D2B55"/>
            <w:vAlign w:val="center"/>
          </w:tcPr>
          <w:p>
            <w:pPr>
              <w:spacing w:before="60" w:after="60"/>
              <w:jc w:val="center"/>
            </w:pPr>
            <w:r>
              <w:rPr>
                <w:b/>
                <w:color w:val="FFFFFF"/>
                <w:sz w:val="19"/>
              </w:rPr>
              <w:t>PLTR</w:t>
            </w:r>
          </w:p>
        </w:tc>
      </w:tr>
      <w:tr>
        <w:tc>
          <w:tcPr>
            <w:tcW w:type="dxa" w:w="4032"/>
            <w:shd w:val="clear" w:color="auto" w:fill="FFFFFF"/>
            <w:vAlign w:val="center"/>
          </w:tcPr>
          <w:p>
            <w:pPr>
              <w:spacing w:before="40" w:after="40"/>
              <w:jc w:val="left"/>
            </w:pPr>
            <w:r>
              <w:rPr>
                <w:color w:val="1A1A1A"/>
                <w:sz w:val="18"/>
              </w:rPr>
              <w:t>Bull: Agentic AI scales, enterprise ROI proves, demand &gt; supply</w:t>
            </w:r>
          </w:p>
        </w:tc>
        <w:tc>
          <w:tcPr>
            <w:tcW w:type="dxa" w:w="720"/>
            <w:shd w:val="clear" w:color="auto" w:fill="FFFFFF"/>
            <w:vAlign w:val="center"/>
          </w:tcPr>
          <w:p>
            <w:pPr>
              <w:spacing w:before="40" w:after="40"/>
              <w:jc w:val="center"/>
            </w:pPr>
            <w:r>
              <w:rPr>
                <w:color w:val="1A1A1A"/>
                <w:sz w:val="18"/>
              </w:rPr>
              <w:t>20%</w:t>
            </w:r>
          </w:p>
        </w:tc>
        <w:tc>
          <w:tcPr>
            <w:tcW w:type="dxa" w:w="864"/>
            <w:shd w:val="clear" w:color="auto" w:fill="FFFFFF"/>
            <w:vAlign w:val="center"/>
          </w:tcPr>
          <w:p>
            <w:pPr>
              <w:spacing w:before="40" w:after="40"/>
              <w:jc w:val="center"/>
            </w:pPr>
            <w:r>
              <w:rPr>
                <w:color w:val="1A1A1A"/>
                <w:sz w:val="18"/>
              </w:rPr>
              <w:t>+350%</w:t>
            </w:r>
          </w:p>
        </w:tc>
        <w:tc>
          <w:tcPr>
            <w:tcW w:type="dxa" w:w="864"/>
            <w:shd w:val="clear" w:color="auto" w:fill="FFFFFF"/>
            <w:vAlign w:val="center"/>
          </w:tcPr>
          <w:p>
            <w:pPr>
              <w:spacing w:before="40" w:after="40"/>
              <w:jc w:val="center"/>
            </w:pPr>
            <w:r>
              <w:rPr>
                <w:color w:val="1A1A1A"/>
                <w:sz w:val="18"/>
              </w:rPr>
              <w:t>+250%</w:t>
            </w:r>
          </w:p>
        </w:tc>
        <w:tc>
          <w:tcPr>
            <w:tcW w:type="dxa" w:w="864"/>
            <w:shd w:val="clear" w:color="auto" w:fill="FFFFFF"/>
            <w:vAlign w:val="center"/>
          </w:tcPr>
          <w:p>
            <w:pPr>
              <w:spacing w:before="40" w:after="40"/>
              <w:jc w:val="center"/>
            </w:pPr>
            <w:r>
              <w:rPr>
                <w:color w:val="1A1A1A"/>
                <w:sz w:val="18"/>
              </w:rPr>
              <w:t>+500%</w:t>
            </w:r>
          </w:p>
        </w:tc>
        <w:tc>
          <w:tcPr>
            <w:tcW w:type="dxa" w:w="864"/>
            <w:shd w:val="clear" w:color="auto" w:fill="FFFFFF"/>
            <w:vAlign w:val="center"/>
          </w:tcPr>
          <w:p>
            <w:pPr>
              <w:spacing w:before="40" w:after="40"/>
              <w:jc w:val="center"/>
            </w:pPr>
            <w:r>
              <w:rPr>
                <w:color w:val="1A1A1A"/>
                <w:sz w:val="18"/>
              </w:rPr>
              <w:t>+200%</w:t>
            </w:r>
          </w:p>
        </w:tc>
        <w:tc>
          <w:tcPr>
            <w:tcW w:type="dxa" w:w="864"/>
            <w:shd w:val="clear" w:color="auto" w:fill="FFFFFF"/>
            <w:vAlign w:val="center"/>
          </w:tcPr>
          <w:p>
            <w:pPr>
              <w:spacing w:before="40" w:after="40"/>
              <w:jc w:val="center"/>
            </w:pPr>
            <w:r>
              <w:rPr>
                <w:color w:val="1A1A1A"/>
                <w:sz w:val="18"/>
              </w:rPr>
              <w:t>+300%</w:t>
            </w:r>
          </w:p>
        </w:tc>
        <w:tc>
          <w:tcPr>
            <w:tcW w:type="dxa" w:w="936"/>
            <w:shd w:val="clear" w:color="auto" w:fill="FFFFFF"/>
            <w:vAlign w:val="center"/>
          </w:tcPr>
          <w:p>
            <w:pPr>
              <w:spacing w:before="40" w:after="40"/>
              <w:jc w:val="center"/>
            </w:pPr>
            <w:r>
              <w:rPr>
                <w:color w:val="1A1A1A"/>
                <w:sz w:val="18"/>
              </w:rPr>
              <w:t>+200%</w:t>
            </w:r>
          </w:p>
        </w:tc>
        <w:tc>
          <w:tcPr>
            <w:tcW w:type="dxa" w:w="936"/>
            <w:shd w:val="clear" w:color="auto" w:fill="FFFFFF"/>
            <w:vAlign w:val="center"/>
          </w:tcPr>
          <w:p>
            <w:pPr>
              <w:spacing w:before="40" w:after="40"/>
              <w:jc w:val="center"/>
            </w:pPr>
            <w:r>
              <w:rPr>
                <w:color w:val="1A1A1A"/>
                <w:sz w:val="18"/>
              </w:rPr>
              <w:t>+200%</w:t>
            </w:r>
          </w:p>
        </w:tc>
        <w:tc>
          <w:tcPr>
            <w:tcW w:type="dxa" w:w="792"/>
            <w:shd w:val="clear" w:color="auto" w:fill="FFFFFF"/>
            <w:vAlign w:val="center"/>
          </w:tcPr>
          <w:p>
            <w:pPr>
              <w:spacing w:before="40" w:after="40"/>
              <w:jc w:val="center"/>
            </w:pPr>
            <w:r>
              <w:rPr>
                <w:color w:val="1A1A1A"/>
                <w:sz w:val="18"/>
              </w:rPr>
              <w:t>+100%</w:t>
            </w:r>
          </w:p>
        </w:tc>
      </w:tr>
      <w:tr>
        <w:tc>
          <w:tcPr>
            <w:tcW w:type="dxa" w:w="4032"/>
            <w:shd w:val="clear" w:color="auto" w:fill="F0F4F8"/>
            <w:vAlign w:val="center"/>
          </w:tcPr>
          <w:p>
            <w:pPr>
              <w:spacing w:before="40" w:after="40"/>
              <w:jc w:val="left"/>
            </w:pPr>
            <w:r>
              <w:rPr>
                <w:color w:val="1A1A1A"/>
                <w:sz w:val="18"/>
              </w:rPr>
              <w:t>Base: Infrastructure builds, software adoption lags 2–3 yrs, modest multiple compression</w:t>
            </w:r>
          </w:p>
        </w:tc>
        <w:tc>
          <w:tcPr>
            <w:tcW w:type="dxa" w:w="720"/>
            <w:shd w:val="clear" w:color="auto" w:fill="F0F4F8"/>
            <w:vAlign w:val="center"/>
          </w:tcPr>
          <w:p>
            <w:pPr>
              <w:spacing w:before="40" w:after="40"/>
              <w:jc w:val="center"/>
            </w:pPr>
            <w:r>
              <w:rPr>
                <w:color w:val="1A1A1A"/>
                <w:sz w:val="18"/>
              </w:rPr>
              <w:t>45%</w:t>
            </w:r>
          </w:p>
        </w:tc>
        <w:tc>
          <w:tcPr>
            <w:tcW w:type="dxa" w:w="864"/>
            <w:shd w:val="clear" w:color="auto" w:fill="F0F4F8"/>
            <w:vAlign w:val="center"/>
          </w:tcPr>
          <w:p>
            <w:pPr>
              <w:spacing w:before="40" w:after="40"/>
              <w:jc w:val="center"/>
            </w:pPr>
            <w:r>
              <w:rPr>
                <w:color w:val="1A1A1A"/>
                <w:sz w:val="18"/>
              </w:rPr>
              <w:t>+150%</w:t>
            </w:r>
          </w:p>
        </w:tc>
        <w:tc>
          <w:tcPr>
            <w:tcW w:type="dxa" w:w="864"/>
            <w:shd w:val="clear" w:color="auto" w:fill="F0F4F8"/>
            <w:vAlign w:val="center"/>
          </w:tcPr>
          <w:p>
            <w:pPr>
              <w:spacing w:before="40" w:after="40"/>
              <w:jc w:val="center"/>
            </w:pPr>
            <w:r>
              <w:rPr>
                <w:color w:val="1A1A1A"/>
                <w:sz w:val="18"/>
              </w:rPr>
              <w:t>+120%</w:t>
            </w:r>
          </w:p>
        </w:tc>
        <w:tc>
          <w:tcPr>
            <w:tcW w:type="dxa" w:w="864"/>
            <w:shd w:val="clear" w:color="auto" w:fill="F0F4F8"/>
            <w:vAlign w:val="center"/>
          </w:tcPr>
          <w:p>
            <w:pPr>
              <w:spacing w:before="40" w:after="40"/>
              <w:jc w:val="center"/>
            </w:pPr>
            <w:r>
              <w:rPr>
                <w:color w:val="1A1A1A"/>
                <w:sz w:val="18"/>
              </w:rPr>
              <w:t>+200%</w:t>
            </w:r>
          </w:p>
        </w:tc>
        <w:tc>
          <w:tcPr>
            <w:tcW w:type="dxa" w:w="864"/>
            <w:shd w:val="clear" w:color="auto" w:fill="F0F4F8"/>
            <w:vAlign w:val="center"/>
          </w:tcPr>
          <w:p>
            <w:pPr>
              <w:spacing w:before="40" w:after="40"/>
              <w:jc w:val="center"/>
            </w:pPr>
            <w:r>
              <w:rPr>
                <w:color w:val="1A1A1A"/>
                <w:sz w:val="18"/>
              </w:rPr>
              <w:t>+120%</w:t>
            </w:r>
          </w:p>
        </w:tc>
        <w:tc>
          <w:tcPr>
            <w:tcW w:type="dxa" w:w="864"/>
            <w:shd w:val="clear" w:color="auto" w:fill="F0F4F8"/>
            <w:vAlign w:val="center"/>
          </w:tcPr>
          <w:p>
            <w:pPr>
              <w:spacing w:before="40" w:after="40"/>
              <w:jc w:val="center"/>
            </w:pPr>
            <w:r>
              <w:rPr>
                <w:color w:val="1A1A1A"/>
                <w:sz w:val="18"/>
              </w:rPr>
              <w:t>+150%</w:t>
            </w:r>
          </w:p>
        </w:tc>
        <w:tc>
          <w:tcPr>
            <w:tcW w:type="dxa" w:w="936"/>
            <w:shd w:val="clear" w:color="auto" w:fill="F0F4F8"/>
            <w:vAlign w:val="center"/>
          </w:tcPr>
          <w:p>
            <w:pPr>
              <w:spacing w:before="40" w:after="40"/>
              <w:jc w:val="center"/>
            </w:pPr>
            <w:r>
              <w:rPr>
                <w:color w:val="1A1A1A"/>
                <w:sz w:val="18"/>
              </w:rPr>
              <w:t>+100%</w:t>
            </w:r>
          </w:p>
        </w:tc>
        <w:tc>
          <w:tcPr>
            <w:tcW w:type="dxa" w:w="936"/>
            <w:shd w:val="clear" w:color="auto" w:fill="F0F4F8"/>
            <w:vAlign w:val="center"/>
          </w:tcPr>
          <w:p>
            <w:pPr>
              <w:spacing w:before="40" w:after="40"/>
              <w:jc w:val="center"/>
            </w:pPr>
            <w:r>
              <w:rPr>
                <w:color w:val="1A1A1A"/>
                <w:sz w:val="18"/>
              </w:rPr>
              <w:t>+30%</w:t>
            </w:r>
          </w:p>
        </w:tc>
        <w:tc>
          <w:tcPr>
            <w:tcW w:type="dxa" w:w="792"/>
            <w:shd w:val="clear" w:color="auto" w:fill="F0F4F8"/>
            <w:vAlign w:val="center"/>
          </w:tcPr>
          <w:p>
            <w:pPr>
              <w:spacing w:before="40" w:after="40"/>
              <w:jc w:val="center"/>
            </w:pPr>
            <w:r>
              <w:rPr>
                <w:color w:val="1A1A1A"/>
                <w:sz w:val="18"/>
              </w:rPr>
              <w:t>−40%</w:t>
            </w:r>
          </w:p>
        </w:tc>
      </w:tr>
      <w:tr>
        <w:tc>
          <w:tcPr>
            <w:tcW w:type="dxa" w:w="4032"/>
            <w:shd w:val="clear" w:color="auto" w:fill="FFFFFF"/>
            <w:vAlign w:val="center"/>
          </w:tcPr>
          <w:p>
            <w:pPr>
              <w:spacing w:before="40" w:after="40"/>
              <w:jc w:val="left"/>
            </w:pPr>
            <w:r>
              <w:rPr>
                <w:color w:val="1A1A1A"/>
                <w:sz w:val="18"/>
              </w:rPr>
              <w:t>Bear: Capex ROI fails, multiples collapse, tech recession</w:t>
            </w:r>
          </w:p>
        </w:tc>
        <w:tc>
          <w:tcPr>
            <w:tcW w:type="dxa" w:w="720"/>
            <w:shd w:val="clear" w:color="auto" w:fill="FFFFFF"/>
            <w:vAlign w:val="center"/>
          </w:tcPr>
          <w:p>
            <w:pPr>
              <w:spacing w:before="40" w:after="40"/>
              <w:jc w:val="center"/>
            </w:pPr>
            <w:r>
              <w:rPr>
                <w:color w:val="1A1A1A"/>
                <w:sz w:val="18"/>
              </w:rPr>
              <w:t>20%</w:t>
            </w:r>
          </w:p>
        </w:tc>
        <w:tc>
          <w:tcPr>
            <w:tcW w:type="dxa" w:w="864"/>
            <w:shd w:val="clear" w:color="auto" w:fill="FFFFFF"/>
            <w:vAlign w:val="center"/>
          </w:tcPr>
          <w:p>
            <w:pPr>
              <w:spacing w:before="40" w:after="40"/>
              <w:jc w:val="center"/>
            </w:pPr>
            <w:r>
              <w:rPr>
                <w:color w:val="1A1A1A"/>
                <w:sz w:val="18"/>
              </w:rPr>
              <w:t>−25%</w:t>
            </w:r>
          </w:p>
        </w:tc>
        <w:tc>
          <w:tcPr>
            <w:tcW w:type="dxa" w:w="864"/>
            <w:shd w:val="clear" w:color="auto" w:fill="FFFFFF"/>
            <w:vAlign w:val="center"/>
          </w:tcPr>
          <w:p>
            <w:pPr>
              <w:spacing w:before="40" w:after="40"/>
              <w:jc w:val="center"/>
            </w:pPr>
            <w:r>
              <w:rPr>
                <w:color w:val="1A1A1A"/>
                <w:sz w:val="18"/>
              </w:rPr>
              <w:t>−40%</w:t>
            </w:r>
          </w:p>
        </w:tc>
        <w:tc>
          <w:tcPr>
            <w:tcW w:type="dxa" w:w="864"/>
            <w:shd w:val="clear" w:color="auto" w:fill="FFFFFF"/>
            <w:vAlign w:val="center"/>
          </w:tcPr>
          <w:p>
            <w:pPr>
              <w:spacing w:before="40" w:after="40"/>
              <w:jc w:val="center"/>
            </w:pPr>
            <w:r>
              <w:rPr>
                <w:color w:val="1A1A1A"/>
                <w:sz w:val="18"/>
              </w:rPr>
              <w:t>−50%</w:t>
            </w:r>
          </w:p>
        </w:tc>
        <w:tc>
          <w:tcPr>
            <w:tcW w:type="dxa" w:w="864"/>
            <w:shd w:val="clear" w:color="auto" w:fill="FFFFFF"/>
            <w:vAlign w:val="center"/>
          </w:tcPr>
          <w:p>
            <w:pPr>
              <w:spacing w:before="40" w:after="40"/>
              <w:jc w:val="center"/>
            </w:pPr>
            <w:r>
              <w:rPr>
                <w:color w:val="1A1A1A"/>
                <w:sz w:val="18"/>
              </w:rPr>
              <w:t>−30%</w:t>
            </w:r>
          </w:p>
        </w:tc>
        <w:tc>
          <w:tcPr>
            <w:tcW w:type="dxa" w:w="864"/>
            <w:shd w:val="clear" w:color="auto" w:fill="FFFFFF"/>
            <w:vAlign w:val="center"/>
          </w:tcPr>
          <w:p>
            <w:pPr>
              <w:spacing w:before="40" w:after="40"/>
              <w:jc w:val="center"/>
            </w:pPr>
            <w:r>
              <w:rPr>
                <w:color w:val="1A1A1A"/>
                <w:sz w:val="18"/>
              </w:rPr>
              <w:t>−15%</w:t>
            </w:r>
          </w:p>
        </w:tc>
        <w:tc>
          <w:tcPr>
            <w:tcW w:type="dxa" w:w="936"/>
            <w:shd w:val="clear" w:color="auto" w:fill="FFFFFF"/>
            <w:vAlign w:val="center"/>
          </w:tcPr>
          <w:p>
            <w:pPr>
              <w:spacing w:before="40" w:after="40"/>
              <w:jc w:val="center"/>
            </w:pPr>
            <w:r>
              <w:rPr>
                <w:color w:val="1A1A1A"/>
                <w:sz w:val="18"/>
              </w:rPr>
              <w:t>−25%</w:t>
            </w:r>
          </w:p>
        </w:tc>
        <w:tc>
          <w:tcPr>
            <w:tcW w:type="dxa" w:w="936"/>
            <w:shd w:val="clear" w:color="auto" w:fill="FFFFFF"/>
            <w:vAlign w:val="center"/>
          </w:tcPr>
          <w:p>
            <w:pPr>
              <w:spacing w:before="40" w:after="40"/>
              <w:jc w:val="center"/>
            </w:pPr>
            <w:r>
              <w:rPr>
                <w:color w:val="1A1A1A"/>
                <w:sz w:val="18"/>
              </w:rPr>
              <w:t>−70%</w:t>
            </w:r>
          </w:p>
        </w:tc>
        <w:tc>
          <w:tcPr>
            <w:tcW w:type="dxa" w:w="792"/>
            <w:shd w:val="clear" w:color="auto" w:fill="FFFFFF"/>
            <w:vAlign w:val="center"/>
          </w:tcPr>
          <w:p>
            <w:pPr>
              <w:spacing w:before="40" w:after="40"/>
              <w:jc w:val="center"/>
            </w:pPr>
            <w:r>
              <w:rPr>
                <w:color w:val="1A1A1A"/>
                <w:sz w:val="18"/>
              </w:rPr>
              <w:t>−85%</w:t>
            </w:r>
          </w:p>
        </w:tc>
      </w:tr>
      <w:tr>
        <w:tc>
          <w:tcPr>
            <w:tcW w:type="dxa" w:w="4032"/>
            <w:shd w:val="clear" w:color="auto" w:fill="F0F4F8"/>
            <w:vAlign w:val="center"/>
          </w:tcPr>
          <w:p>
            <w:pPr>
              <w:spacing w:before="40" w:after="40"/>
              <w:jc w:val="left"/>
            </w:pPr>
            <w:r>
              <w:rPr>
                <w:color w:val="1A1A1A"/>
                <w:sz w:val="18"/>
              </w:rPr>
              <w:t>China disruption: Open-source AI fragments market</w:t>
            </w:r>
          </w:p>
        </w:tc>
        <w:tc>
          <w:tcPr>
            <w:tcW w:type="dxa" w:w="720"/>
            <w:shd w:val="clear" w:color="auto" w:fill="F0F4F8"/>
            <w:vAlign w:val="center"/>
          </w:tcPr>
          <w:p>
            <w:pPr>
              <w:spacing w:before="40" w:after="40"/>
              <w:jc w:val="center"/>
            </w:pPr>
            <w:r>
              <w:rPr>
                <w:color w:val="1A1A1A"/>
                <w:sz w:val="18"/>
              </w:rPr>
              <w:t>15%</w:t>
            </w:r>
          </w:p>
        </w:tc>
        <w:tc>
          <w:tcPr>
            <w:tcW w:type="dxa" w:w="864"/>
            <w:shd w:val="clear" w:color="auto" w:fill="F0F4F8"/>
            <w:vAlign w:val="center"/>
          </w:tcPr>
          <w:p>
            <w:pPr>
              <w:spacing w:before="40" w:after="40"/>
              <w:jc w:val="center"/>
            </w:pPr>
            <w:r>
              <w:rPr>
                <w:color w:val="1A1A1A"/>
                <w:sz w:val="18"/>
              </w:rPr>
              <w:t>+80%</w:t>
            </w:r>
          </w:p>
        </w:tc>
        <w:tc>
          <w:tcPr>
            <w:tcW w:type="dxa" w:w="864"/>
            <w:shd w:val="clear" w:color="auto" w:fill="F0F4F8"/>
            <w:vAlign w:val="center"/>
          </w:tcPr>
          <w:p>
            <w:pPr>
              <w:spacing w:before="40" w:after="40"/>
              <w:jc w:val="center"/>
            </w:pPr>
            <w:r>
              <w:rPr>
                <w:color w:val="1A1A1A"/>
                <w:sz w:val="18"/>
              </w:rPr>
              <w:t>+100%</w:t>
            </w:r>
          </w:p>
        </w:tc>
        <w:tc>
          <w:tcPr>
            <w:tcW w:type="dxa" w:w="864"/>
            <w:shd w:val="clear" w:color="auto" w:fill="F0F4F8"/>
            <w:vAlign w:val="center"/>
          </w:tcPr>
          <w:p>
            <w:pPr>
              <w:spacing w:before="40" w:after="40"/>
              <w:jc w:val="center"/>
            </w:pPr>
            <w:r>
              <w:rPr>
                <w:color w:val="1A1A1A"/>
                <w:sz w:val="18"/>
              </w:rPr>
              <w:t>+200%</w:t>
            </w:r>
          </w:p>
        </w:tc>
        <w:tc>
          <w:tcPr>
            <w:tcW w:type="dxa" w:w="864"/>
            <w:shd w:val="clear" w:color="auto" w:fill="F0F4F8"/>
            <w:vAlign w:val="center"/>
          </w:tcPr>
          <w:p>
            <w:pPr>
              <w:spacing w:before="40" w:after="40"/>
              <w:jc w:val="center"/>
            </w:pPr>
            <w:r>
              <w:rPr>
                <w:color w:val="1A1A1A"/>
                <w:sz w:val="18"/>
              </w:rPr>
              <w:t>+50%</w:t>
            </w:r>
          </w:p>
        </w:tc>
        <w:tc>
          <w:tcPr>
            <w:tcW w:type="dxa" w:w="864"/>
            <w:shd w:val="clear" w:color="auto" w:fill="F0F4F8"/>
            <w:vAlign w:val="center"/>
          </w:tcPr>
          <w:p>
            <w:pPr>
              <w:spacing w:before="40" w:after="40"/>
              <w:jc w:val="center"/>
            </w:pPr>
            <w:r>
              <w:rPr>
                <w:color w:val="1A1A1A"/>
                <w:sz w:val="18"/>
              </w:rPr>
              <w:t>+100%</w:t>
            </w:r>
          </w:p>
        </w:tc>
        <w:tc>
          <w:tcPr>
            <w:tcW w:type="dxa" w:w="936"/>
            <w:shd w:val="clear" w:color="auto" w:fill="F0F4F8"/>
            <w:vAlign w:val="center"/>
          </w:tcPr>
          <w:p>
            <w:pPr>
              <w:spacing w:before="40" w:after="40"/>
              <w:jc w:val="center"/>
            </w:pPr>
            <w:r>
              <w:rPr>
                <w:color w:val="1A1A1A"/>
                <w:sz w:val="18"/>
              </w:rPr>
              <w:t>−20%</w:t>
            </w:r>
          </w:p>
        </w:tc>
        <w:tc>
          <w:tcPr>
            <w:tcW w:type="dxa" w:w="936"/>
            <w:shd w:val="clear" w:color="auto" w:fill="F0F4F8"/>
            <w:vAlign w:val="center"/>
          </w:tcPr>
          <w:p>
            <w:pPr>
              <w:spacing w:before="40" w:after="40"/>
              <w:jc w:val="center"/>
            </w:pPr>
            <w:r>
              <w:rPr>
                <w:color w:val="1A1A1A"/>
                <w:sz w:val="18"/>
              </w:rPr>
              <w:t>−40%</w:t>
            </w:r>
          </w:p>
        </w:tc>
        <w:tc>
          <w:tcPr>
            <w:tcW w:type="dxa" w:w="792"/>
            <w:shd w:val="clear" w:color="auto" w:fill="F0F4F8"/>
            <w:vAlign w:val="center"/>
          </w:tcPr>
          <w:p>
            <w:pPr>
              <w:spacing w:before="40" w:after="40"/>
              <w:jc w:val="center"/>
            </w:pPr>
            <w:r>
              <w:rPr>
                <w:color w:val="1A1A1A"/>
                <w:sz w:val="18"/>
              </w:rPr>
              <w:t>−80%</w:t>
            </w:r>
          </w:p>
        </w:tc>
      </w:tr>
      <w:tr>
        <w:tc>
          <w:tcPr>
            <w:tcW w:type="dxa" w:w="4032"/>
            <w:shd w:val="clear" w:color="auto" w:fill="FFFFFF"/>
            <w:vAlign w:val="center"/>
          </w:tcPr>
          <w:p>
            <w:pPr>
              <w:spacing w:before="40" w:after="40"/>
              <w:jc w:val="left"/>
            </w:pPr>
            <w:r>
              <w:rPr>
                <w:color w:val="1A1A1A"/>
                <w:sz w:val="18"/>
              </w:rPr>
              <w:t>Expected Value (probability-weighted)</w:t>
            </w:r>
          </w:p>
        </w:tc>
        <w:tc>
          <w:tcPr>
            <w:tcW w:type="dxa" w:w="720"/>
            <w:shd w:val="clear" w:color="auto" w:fill="FFFFFF"/>
            <w:vAlign w:val="center"/>
          </w:tcPr>
          <w:p>
            <w:pPr>
              <w:spacing w:before="40" w:after="40"/>
              <w:jc w:val="center"/>
            </w:pPr>
            <w:r>
              <w:rPr>
                <w:color w:val="1A1A1A"/>
                <w:sz w:val="18"/>
              </w:rPr>
              <w:t>100%</w:t>
            </w:r>
          </w:p>
        </w:tc>
        <w:tc>
          <w:tcPr>
            <w:tcW w:type="dxa" w:w="864"/>
            <w:shd w:val="clear" w:color="auto" w:fill="FFFFFF"/>
            <w:vAlign w:val="center"/>
          </w:tcPr>
          <w:p>
            <w:pPr>
              <w:spacing w:before="40" w:after="40"/>
              <w:jc w:val="center"/>
            </w:pPr>
            <w:r>
              <w:rPr>
                <w:color w:val="1A1A1A"/>
                <w:sz w:val="18"/>
              </w:rPr>
              <w:t>+143%</w:t>
            </w:r>
          </w:p>
        </w:tc>
        <w:tc>
          <w:tcPr>
            <w:tcW w:type="dxa" w:w="864"/>
            <w:shd w:val="clear" w:color="auto" w:fill="FFFFFF"/>
            <w:vAlign w:val="center"/>
          </w:tcPr>
          <w:p>
            <w:pPr>
              <w:spacing w:before="40" w:after="40"/>
              <w:jc w:val="center"/>
            </w:pPr>
            <w:r>
              <w:rPr>
                <w:color w:val="1A1A1A"/>
                <w:sz w:val="18"/>
              </w:rPr>
              <w:t>+103%</w:t>
            </w:r>
          </w:p>
        </w:tc>
        <w:tc>
          <w:tcPr>
            <w:tcW w:type="dxa" w:w="864"/>
            <w:shd w:val="clear" w:color="auto" w:fill="FFFFFF"/>
            <w:vAlign w:val="center"/>
          </w:tcPr>
          <w:p>
            <w:pPr>
              <w:spacing w:before="40" w:after="40"/>
              <w:jc w:val="center"/>
            </w:pPr>
            <w:r>
              <w:rPr>
                <w:color w:val="1A1A1A"/>
                <w:sz w:val="18"/>
              </w:rPr>
              <w:t>+188%</w:t>
            </w:r>
          </w:p>
        </w:tc>
        <w:tc>
          <w:tcPr>
            <w:tcW w:type="dxa" w:w="864"/>
            <w:shd w:val="clear" w:color="auto" w:fill="FFFFFF"/>
            <w:vAlign w:val="center"/>
          </w:tcPr>
          <w:p>
            <w:pPr>
              <w:spacing w:before="40" w:after="40"/>
              <w:jc w:val="center"/>
            </w:pPr>
            <w:r>
              <w:rPr>
                <w:color w:val="1A1A1A"/>
                <w:sz w:val="18"/>
              </w:rPr>
              <w:t>+94%</w:t>
            </w:r>
          </w:p>
        </w:tc>
        <w:tc>
          <w:tcPr>
            <w:tcW w:type="dxa" w:w="864"/>
            <w:shd w:val="clear" w:color="auto" w:fill="FFFFFF"/>
            <w:vAlign w:val="center"/>
          </w:tcPr>
          <w:p>
            <w:pPr>
              <w:spacing w:before="40" w:after="40"/>
              <w:jc w:val="center"/>
            </w:pPr>
            <w:r>
              <w:rPr>
                <w:color w:val="1A1A1A"/>
                <w:sz w:val="18"/>
              </w:rPr>
              <w:t>+138%</w:t>
            </w:r>
          </w:p>
        </w:tc>
        <w:tc>
          <w:tcPr>
            <w:tcW w:type="dxa" w:w="936"/>
            <w:shd w:val="clear" w:color="auto" w:fill="FFFFFF"/>
            <w:vAlign w:val="center"/>
          </w:tcPr>
          <w:p>
            <w:pPr>
              <w:spacing w:before="40" w:after="40"/>
              <w:jc w:val="center"/>
            </w:pPr>
            <w:r>
              <w:rPr>
                <w:color w:val="1A1A1A"/>
                <w:sz w:val="18"/>
              </w:rPr>
              <w:t>+72%</w:t>
            </w:r>
          </w:p>
        </w:tc>
        <w:tc>
          <w:tcPr>
            <w:tcW w:type="dxa" w:w="936"/>
            <w:shd w:val="clear" w:color="auto" w:fill="FFFFFF"/>
            <w:vAlign w:val="center"/>
          </w:tcPr>
          <w:p>
            <w:pPr>
              <w:spacing w:before="40" w:after="40"/>
              <w:jc w:val="center"/>
            </w:pPr>
            <w:r>
              <w:rPr>
                <w:color w:val="1A1A1A"/>
                <w:sz w:val="18"/>
              </w:rPr>
              <w:t>+10%</w:t>
            </w:r>
          </w:p>
        </w:tc>
        <w:tc>
          <w:tcPr>
            <w:tcW w:type="dxa" w:w="792"/>
            <w:shd w:val="clear" w:color="auto" w:fill="FFFFFF"/>
            <w:vAlign w:val="center"/>
          </w:tcPr>
          <w:p>
            <w:pPr>
              <w:spacing w:before="40" w:after="40"/>
              <w:jc w:val="center"/>
            </w:pPr>
            <w:r>
              <w:rPr>
                <w:color w:val="1A1A1A"/>
                <w:sz w:val="18"/>
              </w:rPr>
              <w:t>−44%</w:t>
            </w:r>
          </w:p>
        </w:tc>
      </w:tr>
    </w:tbl>
    <w:p/>
    <w:p>
      <w:pPr>
        <w:spacing w:before="0" w:after="120"/>
      </w:pPr>
      <w:r>
        <w:rPr>
          <w:color w:val="1A1A1A"/>
          <w:sz w:val="21"/>
        </w:rPr>
        <w:t>Key insight: Infrastructure plays (Broadcom, Micron, Vertiv, TSMC) have positive expected value across all four scenarios including the bear case, because AI infrastructure is needed even in a slower-growth environment. Software and hype plays (NVIDIA at peak multiples, Palantir) have negative expected value because the bear scenario is catastrophic and the probability-weighting punishes that asymmetry.</w:t>
      </w:r>
    </w:p>
    <w:p>
      <w:pPr>
        <w:spacing w:before="320" w:after="80"/>
        <w:pBdr>
          <w:bottom w:val="single" w:sz="12" w:space="4" w:color="C9A02C"/>
        </w:pBdr>
      </w:pPr>
      <w:r>
        <w:rPr>
          <w:b/>
          <w:color w:val="0D2B55"/>
          <w:sz w:val="36"/>
        </w:rPr>
        <w:t>Part V — Portfolio Construction Guidance</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880"/>
            <w:shd w:val="clear" w:color="auto" w:fill="0D2B55"/>
            <w:vAlign w:val="center"/>
          </w:tcPr>
          <w:p>
            <w:pPr>
              <w:spacing w:before="60" w:after="60"/>
              <w:jc w:val="center"/>
            </w:pPr>
            <w:r>
              <w:rPr>
                <w:b/>
                <w:color w:val="FFFFFF"/>
                <w:sz w:val="19"/>
              </w:rPr>
              <w:t>Category</w:t>
            </w:r>
          </w:p>
        </w:tc>
        <w:tc>
          <w:tcPr>
            <w:tcW w:type="dxa" w:w="2304"/>
            <w:shd w:val="clear" w:color="auto" w:fill="0D2B55"/>
            <w:vAlign w:val="center"/>
          </w:tcPr>
          <w:p>
            <w:pPr>
              <w:spacing w:before="60" w:after="60"/>
              <w:jc w:val="center"/>
            </w:pPr>
            <w:r>
              <w:rPr>
                <w:b/>
                <w:color w:val="FFFFFF"/>
                <w:sz w:val="19"/>
              </w:rPr>
              <w:t>Stocks</w:t>
            </w:r>
          </w:p>
        </w:tc>
        <w:tc>
          <w:tcPr>
            <w:tcW w:type="dxa" w:w="1152"/>
            <w:shd w:val="clear" w:color="auto" w:fill="0D2B55"/>
            <w:vAlign w:val="center"/>
          </w:tcPr>
          <w:p>
            <w:pPr>
              <w:spacing w:before="60" w:after="60"/>
              <w:jc w:val="center"/>
            </w:pPr>
            <w:r>
              <w:rPr>
                <w:b/>
                <w:color w:val="FFFFFF"/>
                <w:sz w:val="19"/>
              </w:rPr>
              <w:t>Weight</w:t>
            </w:r>
          </w:p>
        </w:tc>
        <w:tc>
          <w:tcPr>
            <w:tcW w:type="dxa" w:w="3888"/>
            <w:shd w:val="clear" w:color="auto" w:fill="0D2B55"/>
            <w:vAlign w:val="center"/>
          </w:tcPr>
          <w:p>
            <w:pPr>
              <w:spacing w:before="60" w:after="60"/>
              <w:jc w:val="center"/>
            </w:pPr>
            <w:r>
              <w:rPr>
                <w:b/>
                <w:color w:val="FFFFFF"/>
                <w:sz w:val="19"/>
              </w:rPr>
              <w:t>Rationale</w:t>
            </w:r>
          </w:p>
        </w:tc>
      </w:tr>
      <w:tr>
        <w:tc>
          <w:tcPr>
            <w:tcW w:type="dxa" w:w="2880"/>
            <w:shd w:val="clear" w:color="auto" w:fill="FFFFFF"/>
            <w:vAlign w:val="center"/>
          </w:tcPr>
          <w:p>
            <w:pPr>
              <w:spacing w:before="40" w:after="40"/>
              <w:jc w:val="left"/>
            </w:pPr>
            <w:r>
              <w:rPr>
                <w:color w:val="1A1A1A"/>
                <w:sz w:val="18"/>
              </w:rPr>
              <w:t>AI Infrastructure Chokepoints</w:t>
            </w:r>
          </w:p>
        </w:tc>
        <w:tc>
          <w:tcPr>
            <w:tcW w:type="dxa" w:w="2304"/>
            <w:shd w:val="clear" w:color="auto" w:fill="FFFFFF"/>
            <w:vAlign w:val="center"/>
          </w:tcPr>
          <w:p>
            <w:pPr>
              <w:spacing w:before="40" w:after="40"/>
              <w:jc w:val="center"/>
            </w:pPr>
            <w:r>
              <w:rPr>
                <w:color w:val="1A1A1A"/>
                <w:sz w:val="18"/>
              </w:rPr>
              <w:t>TSM, AVGO, MRVL, MU</w:t>
            </w:r>
          </w:p>
        </w:tc>
        <w:tc>
          <w:tcPr>
            <w:tcW w:type="dxa" w:w="1152"/>
            <w:shd w:val="clear" w:color="auto" w:fill="FFFFFF"/>
            <w:vAlign w:val="center"/>
          </w:tcPr>
          <w:p>
            <w:pPr>
              <w:spacing w:before="40" w:after="40"/>
              <w:jc w:val="center"/>
            </w:pPr>
            <w:r>
              <w:rPr>
                <w:color w:val="1A1A1A"/>
                <w:sz w:val="18"/>
              </w:rPr>
              <w:t>35–40%</w:t>
            </w:r>
          </w:p>
        </w:tc>
        <w:tc>
          <w:tcPr>
            <w:tcW w:type="dxa" w:w="3888"/>
            <w:shd w:val="clear" w:color="auto" w:fill="FFFFFF"/>
            <w:vAlign w:val="center"/>
          </w:tcPr>
          <w:p>
            <w:pPr>
              <w:spacing w:before="40" w:after="40"/>
              <w:jc w:val="center"/>
            </w:pPr>
            <w:r>
              <w:rPr>
                <w:color w:val="1A1A1A"/>
                <w:sz w:val="18"/>
              </w:rPr>
              <w:t>Own the constraints; positive EV across all scenarios</w:t>
            </w:r>
          </w:p>
        </w:tc>
      </w:tr>
      <w:tr>
        <w:tc>
          <w:tcPr>
            <w:tcW w:type="dxa" w:w="2880"/>
            <w:shd w:val="clear" w:color="auto" w:fill="F0F4F8"/>
            <w:vAlign w:val="center"/>
          </w:tcPr>
          <w:p>
            <w:pPr>
              <w:spacing w:before="40" w:after="40"/>
              <w:jc w:val="left"/>
            </w:pPr>
            <w:r>
              <w:rPr>
                <w:color w:val="1A1A1A"/>
                <w:sz w:val="18"/>
              </w:rPr>
              <w:t>AI Networking &amp; Power</w:t>
            </w:r>
          </w:p>
        </w:tc>
        <w:tc>
          <w:tcPr>
            <w:tcW w:type="dxa" w:w="2304"/>
            <w:shd w:val="clear" w:color="auto" w:fill="F0F4F8"/>
            <w:vAlign w:val="center"/>
          </w:tcPr>
          <w:p>
            <w:pPr>
              <w:spacing w:before="40" w:after="40"/>
              <w:jc w:val="center"/>
            </w:pPr>
            <w:r>
              <w:rPr>
                <w:color w:val="1A1A1A"/>
                <w:sz w:val="18"/>
              </w:rPr>
              <w:t>ANET, VRT, CEG or VST</w:t>
            </w:r>
          </w:p>
        </w:tc>
        <w:tc>
          <w:tcPr>
            <w:tcW w:type="dxa" w:w="1152"/>
            <w:shd w:val="clear" w:color="auto" w:fill="F0F4F8"/>
            <w:vAlign w:val="center"/>
          </w:tcPr>
          <w:p>
            <w:pPr>
              <w:spacing w:before="40" w:after="40"/>
              <w:jc w:val="center"/>
            </w:pPr>
            <w:r>
              <w:rPr>
                <w:color w:val="1A1A1A"/>
                <w:sz w:val="18"/>
              </w:rPr>
              <w:t>15–20%</w:t>
            </w:r>
          </w:p>
        </w:tc>
        <w:tc>
          <w:tcPr>
            <w:tcW w:type="dxa" w:w="3888"/>
            <w:shd w:val="clear" w:color="auto" w:fill="F0F4F8"/>
            <w:vAlign w:val="center"/>
          </w:tcPr>
          <w:p>
            <w:pPr>
              <w:spacing w:before="40" w:after="40"/>
              <w:jc w:val="center"/>
            </w:pPr>
            <w:r>
              <w:rPr>
                <w:color w:val="1A1A1A"/>
                <w:sz w:val="18"/>
              </w:rPr>
              <w:t>Undervalued; benefits from power/bandwidth bottleneck</w:t>
            </w:r>
          </w:p>
        </w:tc>
      </w:tr>
      <w:tr>
        <w:tc>
          <w:tcPr>
            <w:tcW w:type="dxa" w:w="2880"/>
            <w:shd w:val="clear" w:color="auto" w:fill="FFFFFF"/>
            <w:vAlign w:val="center"/>
          </w:tcPr>
          <w:p>
            <w:pPr>
              <w:spacing w:before="40" w:after="40"/>
              <w:jc w:val="left"/>
            </w:pPr>
            <w:r>
              <w:rPr>
                <w:color w:val="1A1A1A"/>
                <w:sz w:val="18"/>
              </w:rPr>
              <w:t>Large-Cap Execution Layer</w:t>
            </w:r>
          </w:p>
        </w:tc>
        <w:tc>
          <w:tcPr>
            <w:tcW w:type="dxa" w:w="2304"/>
            <w:shd w:val="clear" w:color="auto" w:fill="FFFFFF"/>
            <w:vAlign w:val="center"/>
          </w:tcPr>
          <w:p>
            <w:pPr>
              <w:spacing w:before="40" w:after="40"/>
              <w:jc w:val="center"/>
            </w:pPr>
            <w:r>
              <w:rPr>
                <w:color w:val="1A1A1A"/>
                <w:sz w:val="18"/>
              </w:rPr>
              <w:t>MSFT, GOOGL, META</w:t>
            </w:r>
          </w:p>
        </w:tc>
        <w:tc>
          <w:tcPr>
            <w:tcW w:type="dxa" w:w="1152"/>
            <w:shd w:val="clear" w:color="auto" w:fill="FFFFFF"/>
            <w:vAlign w:val="center"/>
          </w:tcPr>
          <w:p>
            <w:pPr>
              <w:spacing w:before="40" w:after="40"/>
              <w:jc w:val="center"/>
            </w:pPr>
            <w:r>
              <w:rPr>
                <w:color w:val="1A1A1A"/>
                <w:sz w:val="18"/>
              </w:rPr>
              <w:t>25–30%</w:t>
            </w:r>
          </w:p>
        </w:tc>
        <w:tc>
          <w:tcPr>
            <w:tcW w:type="dxa" w:w="3888"/>
            <w:shd w:val="clear" w:color="auto" w:fill="FFFFFF"/>
            <w:vAlign w:val="center"/>
          </w:tcPr>
          <w:p>
            <w:pPr>
              <w:spacing w:before="40" w:after="40"/>
              <w:jc w:val="center"/>
            </w:pPr>
            <w:r>
              <w:rPr>
                <w:color w:val="1A1A1A"/>
                <w:sz w:val="18"/>
              </w:rPr>
              <w:t>Diversified AI monetisation; reasonable valuations</w:t>
            </w:r>
          </w:p>
        </w:tc>
      </w:tr>
      <w:tr>
        <w:tc>
          <w:tcPr>
            <w:tcW w:type="dxa" w:w="2880"/>
            <w:shd w:val="clear" w:color="auto" w:fill="F0F4F8"/>
            <w:vAlign w:val="center"/>
          </w:tcPr>
          <w:p>
            <w:pPr>
              <w:spacing w:before="40" w:after="40"/>
              <w:jc w:val="left"/>
            </w:pPr>
            <w:r>
              <w:rPr>
                <w:color w:val="1A1A1A"/>
                <w:sz w:val="18"/>
              </w:rPr>
              <w:t>Speculative / High-Conviction</w:t>
            </w:r>
          </w:p>
        </w:tc>
        <w:tc>
          <w:tcPr>
            <w:tcW w:type="dxa" w:w="2304"/>
            <w:shd w:val="clear" w:color="auto" w:fill="F0F4F8"/>
            <w:vAlign w:val="center"/>
          </w:tcPr>
          <w:p>
            <w:pPr>
              <w:spacing w:before="40" w:after="40"/>
              <w:jc w:val="center"/>
            </w:pPr>
            <w:r>
              <w:rPr>
                <w:color w:val="1A1A1A"/>
                <w:sz w:val="18"/>
              </w:rPr>
              <w:t>AMD, ARM</w:t>
            </w:r>
          </w:p>
        </w:tc>
        <w:tc>
          <w:tcPr>
            <w:tcW w:type="dxa" w:w="1152"/>
            <w:shd w:val="clear" w:color="auto" w:fill="F0F4F8"/>
            <w:vAlign w:val="center"/>
          </w:tcPr>
          <w:p>
            <w:pPr>
              <w:spacing w:before="40" w:after="40"/>
              <w:jc w:val="center"/>
            </w:pPr>
            <w:r>
              <w:rPr>
                <w:color w:val="1A1A1A"/>
                <w:sz w:val="18"/>
              </w:rPr>
              <w:t>5–10%</w:t>
            </w:r>
          </w:p>
        </w:tc>
        <w:tc>
          <w:tcPr>
            <w:tcW w:type="dxa" w:w="3888"/>
            <w:shd w:val="clear" w:color="auto" w:fill="F0F4F8"/>
            <w:vAlign w:val="center"/>
          </w:tcPr>
          <w:p>
            <w:pPr>
              <w:spacing w:before="40" w:after="40"/>
              <w:jc w:val="center"/>
            </w:pPr>
            <w:r>
              <w:rPr>
                <w:color w:val="1A1A1A"/>
                <w:sz w:val="18"/>
              </w:rPr>
              <w:t>Upside exposure with defined risk</w:t>
            </w:r>
          </w:p>
        </w:tc>
      </w:tr>
      <w:tr>
        <w:tc>
          <w:tcPr>
            <w:tcW w:type="dxa" w:w="2880"/>
            <w:shd w:val="clear" w:color="auto" w:fill="FFFFFF"/>
            <w:vAlign w:val="center"/>
          </w:tcPr>
          <w:p>
            <w:pPr>
              <w:spacing w:before="40" w:after="40"/>
              <w:jc w:val="left"/>
            </w:pPr>
            <w:r>
              <w:rPr>
                <w:color w:val="1A1A1A"/>
                <w:sz w:val="18"/>
              </w:rPr>
              <w:t>Watch List (Buy on Drawdowns)</w:t>
            </w:r>
          </w:p>
        </w:tc>
        <w:tc>
          <w:tcPr>
            <w:tcW w:type="dxa" w:w="2304"/>
            <w:shd w:val="clear" w:color="auto" w:fill="FFFFFF"/>
            <w:vAlign w:val="center"/>
          </w:tcPr>
          <w:p>
            <w:pPr>
              <w:spacing w:before="40" w:after="40"/>
              <w:jc w:val="center"/>
            </w:pPr>
            <w:r>
              <w:rPr>
                <w:color w:val="1A1A1A"/>
                <w:sz w:val="18"/>
              </w:rPr>
              <w:t>NVDA, AMZN</w:t>
            </w:r>
          </w:p>
        </w:tc>
        <w:tc>
          <w:tcPr>
            <w:tcW w:type="dxa" w:w="1152"/>
            <w:shd w:val="clear" w:color="auto" w:fill="FFFFFF"/>
            <w:vAlign w:val="center"/>
          </w:tcPr>
          <w:p>
            <w:pPr>
              <w:spacing w:before="40" w:after="40"/>
              <w:jc w:val="center"/>
            </w:pPr>
            <w:r>
              <w:rPr>
                <w:color w:val="1A1A1A"/>
                <w:sz w:val="18"/>
              </w:rPr>
              <w:t>5–10%</w:t>
            </w:r>
          </w:p>
        </w:tc>
        <w:tc>
          <w:tcPr>
            <w:tcW w:type="dxa" w:w="3888"/>
            <w:shd w:val="clear" w:color="auto" w:fill="FFFFFF"/>
            <w:vAlign w:val="center"/>
          </w:tcPr>
          <w:p>
            <w:pPr>
              <w:spacing w:before="40" w:after="40"/>
              <w:jc w:val="center"/>
            </w:pPr>
            <w:r>
              <w:rPr>
                <w:color w:val="1A1A1A"/>
                <w:sz w:val="18"/>
              </w:rPr>
              <w:t>Great businesses; wait for 30–50% corrections</w:t>
            </w:r>
          </w:p>
        </w:tc>
      </w:tr>
      <w:tr>
        <w:tc>
          <w:tcPr>
            <w:tcW w:type="dxa" w:w="2880"/>
            <w:shd w:val="clear" w:color="auto" w:fill="F0F4F8"/>
            <w:vAlign w:val="center"/>
          </w:tcPr>
          <w:p>
            <w:pPr>
              <w:spacing w:before="40" w:after="40"/>
              <w:jc w:val="left"/>
            </w:pPr>
            <w:r>
              <w:rPr>
                <w:color w:val="1A1A1A"/>
                <w:sz w:val="18"/>
              </w:rPr>
              <w:t>Avoid</w:t>
            </w:r>
          </w:p>
        </w:tc>
        <w:tc>
          <w:tcPr>
            <w:tcW w:type="dxa" w:w="2304"/>
            <w:shd w:val="clear" w:color="auto" w:fill="F0F4F8"/>
            <w:vAlign w:val="center"/>
          </w:tcPr>
          <w:p>
            <w:pPr>
              <w:spacing w:before="40" w:after="40"/>
              <w:jc w:val="center"/>
            </w:pPr>
            <w:r>
              <w:rPr>
                <w:color w:val="1A1A1A"/>
                <w:sz w:val="18"/>
              </w:rPr>
              <w:t>PLTR, AI, SMCI, SOUN</w:t>
            </w:r>
          </w:p>
        </w:tc>
        <w:tc>
          <w:tcPr>
            <w:tcW w:type="dxa" w:w="1152"/>
            <w:shd w:val="clear" w:color="auto" w:fill="F0F4F8"/>
            <w:vAlign w:val="center"/>
          </w:tcPr>
          <w:p>
            <w:pPr>
              <w:spacing w:before="40" w:after="40"/>
              <w:jc w:val="center"/>
            </w:pPr>
            <w:r>
              <w:rPr>
                <w:color w:val="1A1A1A"/>
                <w:sz w:val="18"/>
              </w:rPr>
              <w:t>0%</w:t>
            </w:r>
          </w:p>
        </w:tc>
        <w:tc>
          <w:tcPr>
            <w:tcW w:type="dxa" w:w="3888"/>
            <w:shd w:val="clear" w:color="auto" w:fill="F0F4F8"/>
            <w:vAlign w:val="center"/>
          </w:tcPr>
          <w:p>
            <w:pPr>
              <w:spacing w:before="40" w:after="40"/>
              <w:jc w:val="center"/>
            </w:pPr>
            <w:r>
              <w:rPr>
                <w:color w:val="1A1A1A"/>
                <w:sz w:val="18"/>
              </w:rPr>
              <w:t>Valuation risk or structural issues outweigh upside</w:t>
            </w:r>
          </w:p>
        </w:tc>
      </w:tr>
    </w:tbl>
    <w:p/>
    <w:p>
      <w:pPr>
        <w:spacing w:before="200" w:after="80"/>
      </w:pPr>
      <w:r>
        <w:rPr>
          <w:b/>
          <w:color w:val="0D2B55"/>
          <w:sz w:val="28"/>
        </w:rPr>
        <w:t>Rebalancing Rules</w:t>
      </w:r>
    </w:p>
    <w:p>
      <w:pPr>
        <w:pStyle w:val="ListBullet"/>
        <w:spacing w:before="40" w:after="40"/>
        <w:ind w:left="397"/>
      </w:pPr>
      <w:r>
        <w:rPr>
          <w:color w:val="1A1A1A"/>
          <w:sz w:val="21"/>
        </w:rPr>
        <w:t>After NVIDIA 40%+ drawdown: rotate 5–10% of portfolio into NVDA; the business justifies ownership at better valuations</w:t>
      </w:r>
    </w:p>
    <w:p>
      <w:pPr>
        <w:pStyle w:val="ListBullet"/>
        <w:spacing w:before="40" w:after="40"/>
        <w:ind w:left="397"/>
      </w:pPr>
      <w:r>
        <w:rPr>
          <w:color w:val="1A1A1A"/>
          <w:sz w:val="21"/>
        </w:rPr>
        <w:t>After 25%+ market-wide AI selloff: increase TSM and AVGO — supply constraints persist regardless of sentiment</w:t>
      </w:r>
    </w:p>
    <w:p>
      <w:pPr>
        <w:pStyle w:val="ListBullet"/>
        <w:spacing w:before="40" w:after="40"/>
        <w:ind w:left="397"/>
      </w:pPr>
      <w:r>
        <w:rPr>
          <w:color w:val="1A1A1A"/>
          <w:sz w:val="21"/>
        </w:rPr>
        <w:t>If enterprise AI ROI evidence improves materially: rotate from infrastructure into application layer (MSFT, GOOGL, META)</w:t>
      </w:r>
    </w:p>
    <w:p>
      <w:pPr>
        <w:pStyle w:val="ListBullet"/>
        <w:spacing w:before="40" w:after="40"/>
        <w:ind w:left="397"/>
      </w:pPr>
      <w:r>
        <w:rPr>
          <w:color w:val="1A1A1A"/>
          <w:sz w:val="21"/>
        </w:rPr>
        <w:t>If power shortage worsens (grid approvals delayed 3+ years): increase VRT and nuclear utilities</w:t>
      </w:r>
    </w:p>
    <w:p>
      <w:pPr>
        <w:spacing w:before="320" w:after="80"/>
        <w:pBdr>
          <w:bottom w:val="single" w:sz="12" w:space="4" w:color="C9A02C"/>
        </w:pBdr>
      </w:pPr>
      <w:r>
        <w:rPr>
          <w:b/>
          <w:color w:val="0D2B55"/>
          <w:sz w:val="36"/>
        </w:rPr>
        <w:t>Part VI — Risks Not Priced by Consensus</w:t>
      </w:r>
    </w:p>
    <w:p>
      <w:r>
        <w:rPr>
          <w:b/>
          <w:color w:val="1A1A1A"/>
          <w:sz w:val="21"/>
        </w:rPr>
        <w:t xml:space="preserve">1. The Productivity Paradox Timing Risk.  </w:t>
      </w:r>
      <w:r>
        <w:rPr>
          <w:sz w:val="21"/>
        </w:rPr>
        <w:t>Historical evidence (electricity, computers, internet) shows general-purpose technologies take 15–25 years to produce measurable macroeconomic productivity gains. If enterprise AI ROI takes until 2030–2033 to appear in earnings, many AI software stocks will compress significantly before recovering.</w:t>
      </w:r>
    </w:p>
    <w:p>
      <w:r>
        <w:rPr>
          <w:b/>
          <w:color w:val="1A1A1A"/>
          <w:sz w:val="21"/>
        </w:rPr>
        <w:t xml:space="preserve">2. Water Scarcity as a Hidden Constraint.  </w:t>
      </w:r>
      <w:r>
        <w:rPr>
          <w:sz w:val="21"/>
        </w:rPr>
        <w:t>AI data centres consume enormous water for cooling. Northern Virginia, western US states, and Ireland are experiencing water stress from data centres already. This constraint receives almost no coverage in AI investment research but could materially slow data centre build in high-demand regions.</w:t>
      </w:r>
    </w:p>
    <w:p>
      <w:r>
        <w:rPr>
          <w:b/>
          <w:color w:val="1A1A1A"/>
          <w:sz w:val="21"/>
        </w:rPr>
        <w:t xml:space="preserve">3. AI Regulation Acceleration.  </w:t>
      </w:r>
      <w:r>
        <w:rPr>
          <w:sz w:val="21"/>
        </w:rPr>
        <w:t>The EU AI Act, proposed US legislation, and growing international regulatory frameworks impose compliance costs that favour large incumbents (Microsoft, Google) over startups and mid-cap AI companies. Regulatory burden is a moat for established players.</w:t>
      </w:r>
    </w:p>
    <w:p>
      <w:r>
        <w:rPr>
          <w:b/>
          <w:color w:val="1A1A1A"/>
          <w:sz w:val="21"/>
        </w:rPr>
        <w:t xml:space="preserve">4. Quantum Computing Disruption (2030+ Horizon).  </w:t>
      </w:r>
      <w:r>
        <w:rPr>
          <w:sz w:val="21"/>
        </w:rPr>
        <w:t>Quantum computing, if it reaches fault-tolerant operation by 2030–2035, would radically change the compute architecture underpinning AI. This is a 5–10 year risk, not a 2-year risk, but investors with truly long time horizons should monitor IBM Quantum, Google Quantum, and IonQ.</w:t>
      </w:r>
    </w:p>
    <w:p>
      <w:r>
        <w:br w:type="page"/>
      </w:r>
    </w:p>
    <w:p>
      <w:pPr>
        <w:spacing w:before="320" w:after="80"/>
        <w:pBdr>
          <w:bottom w:val="single" w:sz="12" w:space="4" w:color="C9A02C"/>
        </w:pBdr>
      </w:pPr>
      <w:r>
        <w:rPr>
          <w:b/>
          <w:color w:val="0D2B55"/>
          <w:sz w:val="36"/>
        </w:rPr>
        <w:t>Source Reliability and Bias Assessment</w:t>
      </w:r>
    </w:p>
    <w:tbl>
      <w:tblPr>
        <w:tblStyle w:val="TableGrid"/>
        <w:tblW w:type="auto" w:w="0"/>
        <w:jc w:val="center"/>
        <w:tblLook w:firstColumn="1" w:firstRow="1" w:lastColumn="0" w:lastRow="0" w:noHBand="0" w:noVBand="1" w:val="04A0"/>
      </w:tblPr>
      <w:tblGrid>
        <w:gridCol w:w="3022"/>
        <w:gridCol w:w="3022"/>
        <w:gridCol w:w="3022"/>
      </w:tblGrid>
      <w:tr>
        <w:tc>
          <w:tcPr>
            <w:tcW w:type="dxa" w:w="2304"/>
            <w:shd w:val="clear" w:color="auto" w:fill="0D2B55"/>
            <w:vAlign w:val="center"/>
          </w:tcPr>
          <w:p>
            <w:pPr>
              <w:spacing w:before="60" w:after="60"/>
              <w:jc w:val="center"/>
            </w:pPr>
            <w:r>
              <w:rPr>
                <w:b/>
                <w:color w:val="FFFFFF"/>
                <w:sz w:val="19"/>
              </w:rPr>
              <w:t>Source</w:t>
            </w:r>
          </w:p>
        </w:tc>
        <w:tc>
          <w:tcPr>
            <w:tcW w:type="dxa" w:w="3312"/>
            <w:shd w:val="clear" w:color="auto" w:fill="0D2B55"/>
            <w:vAlign w:val="center"/>
          </w:tcPr>
          <w:p>
            <w:pPr>
              <w:spacing w:before="60" w:after="60"/>
              <w:jc w:val="center"/>
            </w:pPr>
            <w:r>
              <w:rPr>
                <w:b/>
                <w:color w:val="FFFFFF"/>
                <w:sz w:val="19"/>
              </w:rPr>
              <w:t>Bias Type</w:t>
            </w:r>
          </w:p>
        </w:tc>
        <w:tc>
          <w:tcPr>
            <w:tcW w:type="dxa" w:w="4320"/>
            <w:shd w:val="clear" w:color="auto" w:fill="0D2B55"/>
            <w:vAlign w:val="center"/>
          </w:tcPr>
          <w:p>
            <w:pPr>
              <w:spacing w:before="60" w:after="60"/>
              <w:jc w:val="center"/>
            </w:pPr>
            <w:r>
              <w:rPr>
                <w:b/>
                <w:color w:val="FFFFFF"/>
                <w:sz w:val="19"/>
              </w:rPr>
              <w:t>Investment Reliability</w:t>
            </w:r>
          </w:p>
        </w:tc>
      </w:tr>
      <w:tr>
        <w:tc>
          <w:tcPr>
            <w:tcW w:type="dxa" w:w="2304"/>
            <w:shd w:val="clear" w:color="auto" w:fill="FFFFFF"/>
            <w:vAlign w:val="center"/>
          </w:tcPr>
          <w:p>
            <w:pPr>
              <w:spacing w:before="40" w:after="40"/>
              <w:jc w:val="left"/>
            </w:pPr>
            <w:r>
              <w:rPr>
                <w:color w:val="1A1A1A"/>
                <w:sz w:val="18"/>
              </w:rPr>
              <w:t>Gartner</w:t>
            </w:r>
          </w:p>
        </w:tc>
        <w:tc>
          <w:tcPr>
            <w:tcW w:type="dxa" w:w="3312"/>
            <w:shd w:val="clear" w:color="auto" w:fill="FFFFFF"/>
            <w:vAlign w:val="center"/>
          </w:tcPr>
          <w:p>
            <w:pPr>
              <w:spacing w:before="40" w:after="40"/>
              <w:jc w:val="center"/>
            </w:pPr>
            <w:r>
              <w:rPr>
                <w:color w:val="1A1A1A"/>
                <w:sz w:val="18"/>
              </w:rPr>
              <w:t>Vendor-adjacent; tech company clients</w:t>
            </w:r>
          </w:p>
        </w:tc>
        <w:tc>
          <w:tcPr>
            <w:tcW w:type="dxa" w:w="4320"/>
            <w:shd w:val="clear" w:color="auto" w:fill="FFFFFF"/>
            <w:vAlign w:val="center"/>
          </w:tcPr>
          <w:p>
            <w:pPr>
              <w:spacing w:before="40" w:after="40"/>
              <w:jc w:val="center"/>
            </w:pPr>
            <w:r>
              <w:rPr>
                <w:color w:val="1A1A1A"/>
                <w:sz w:val="18"/>
              </w:rPr>
              <w:t>High — adjust market sizes down 10–20%</w:t>
            </w:r>
          </w:p>
        </w:tc>
      </w:tr>
      <w:tr>
        <w:tc>
          <w:tcPr>
            <w:tcW w:type="dxa" w:w="2304"/>
            <w:shd w:val="clear" w:color="auto" w:fill="F0F4F8"/>
            <w:vAlign w:val="center"/>
          </w:tcPr>
          <w:p>
            <w:pPr>
              <w:spacing w:before="40" w:after="40"/>
              <w:jc w:val="left"/>
            </w:pPr>
            <w:r>
              <w:rPr>
                <w:color w:val="1A1A1A"/>
                <w:sz w:val="18"/>
              </w:rPr>
              <w:t>McKinsey &amp; Co</w:t>
            </w:r>
          </w:p>
        </w:tc>
        <w:tc>
          <w:tcPr>
            <w:tcW w:type="dxa" w:w="3312"/>
            <w:shd w:val="clear" w:color="auto" w:fill="F0F4F8"/>
            <w:vAlign w:val="center"/>
          </w:tcPr>
          <w:p>
            <w:pPr>
              <w:spacing w:before="40" w:after="40"/>
              <w:jc w:val="center"/>
            </w:pPr>
            <w:r>
              <w:rPr>
                <w:color w:val="1A1A1A"/>
                <w:sz w:val="18"/>
              </w:rPr>
              <w:t>Consulting; large figures justify advisory spend</w:t>
            </w:r>
          </w:p>
        </w:tc>
        <w:tc>
          <w:tcPr>
            <w:tcW w:type="dxa" w:w="4320"/>
            <w:shd w:val="clear" w:color="auto" w:fill="F0F4F8"/>
            <w:vAlign w:val="center"/>
          </w:tcPr>
          <w:p>
            <w:pPr>
              <w:spacing w:before="40" w:after="40"/>
              <w:jc w:val="center"/>
            </w:pPr>
            <w:r>
              <w:rPr>
                <w:color w:val="1A1A1A"/>
                <w:sz w:val="18"/>
              </w:rPr>
              <w:t>High for infrastructure; treat GDP impact figures skeptically</w:t>
            </w:r>
          </w:p>
        </w:tc>
      </w:tr>
      <w:tr>
        <w:tc>
          <w:tcPr>
            <w:tcW w:type="dxa" w:w="2304"/>
            <w:shd w:val="clear" w:color="auto" w:fill="FFFFFF"/>
            <w:vAlign w:val="center"/>
          </w:tcPr>
          <w:p>
            <w:pPr>
              <w:spacing w:before="40" w:after="40"/>
              <w:jc w:val="left"/>
            </w:pPr>
            <w:r>
              <w:rPr>
                <w:color w:val="1A1A1A"/>
                <w:sz w:val="18"/>
              </w:rPr>
              <w:t>Goldman Sachs</w:t>
            </w:r>
          </w:p>
        </w:tc>
        <w:tc>
          <w:tcPr>
            <w:tcW w:type="dxa" w:w="3312"/>
            <w:shd w:val="clear" w:color="auto" w:fill="FFFFFF"/>
            <w:vAlign w:val="center"/>
          </w:tcPr>
          <w:p>
            <w:pPr>
              <w:spacing w:before="40" w:after="40"/>
              <w:jc w:val="center"/>
            </w:pPr>
            <w:r>
              <w:rPr>
                <w:color w:val="1A1A1A"/>
                <w:sz w:val="18"/>
              </w:rPr>
              <w:t>Investment bank; fiduciary duty to clients</w:t>
            </w:r>
          </w:p>
        </w:tc>
        <w:tc>
          <w:tcPr>
            <w:tcW w:type="dxa" w:w="4320"/>
            <w:shd w:val="clear" w:color="auto" w:fill="FFFFFF"/>
            <w:vAlign w:val="center"/>
          </w:tcPr>
          <w:p>
            <w:pPr>
              <w:spacing w:before="40" w:after="40"/>
              <w:jc w:val="center"/>
            </w:pPr>
            <w:r>
              <w:rPr>
                <w:color w:val="1A1A1A"/>
                <w:sz w:val="18"/>
              </w:rPr>
              <w:t>High — particularly credible on capex ROI analysis</w:t>
            </w:r>
          </w:p>
        </w:tc>
      </w:tr>
      <w:tr>
        <w:tc>
          <w:tcPr>
            <w:tcW w:type="dxa" w:w="2304"/>
            <w:shd w:val="clear" w:color="auto" w:fill="F0F4F8"/>
            <w:vAlign w:val="center"/>
          </w:tcPr>
          <w:p>
            <w:pPr>
              <w:spacing w:before="40" w:after="40"/>
              <w:jc w:val="left"/>
            </w:pPr>
            <w:r>
              <w:rPr>
                <w:color w:val="1A1A1A"/>
                <w:sz w:val="18"/>
              </w:rPr>
              <w:t>JPMorgan</w:t>
            </w:r>
          </w:p>
        </w:tc>
        <w:tc>
          <w:tcPr>
            <w:tcW w:type="dxa" w:w="3312"/>
            <w:shd w:val="clear" w:color="auto" w:fill="F0F4F8"/>
            <w:vAlign w:val="center"/>
          </w:tcPr>
          <w:p>
            <w:pPr>
              <w:spacing w:before="40" w:after="40"/>
              <w:jc w:val="center"/>
            </w:pPr>
            <w:r>
              <w:rPr>
                <w:color w:val="1A1A1A"/>
                <w:sz w:val="18"/>
              </w:rPr>
              <w:t>Investment bank; balanced</w:t>
            </w:r>
          </w:p>
        </w:tc>
        <w:tc>
          <w:tcPr>
            <w:tcW w:type="dxa" w:w="4320"/>
            <w:shd w:val="clear" w:color="auto" w:fill="F0F4F8"/>
            <w:vAlign w:val="center"/>
          </w:tcPr>
          <w:p>
            <w:pPr>
              <w:spacing w:before="40" w:after="40"/>
              <w:jc w:val="center"/>
            </w:pPr>
            <w:r>
              <w:rPr>
                <w:color w:val="1A1A1A"/>
                <w:sz w:val="18"/>
              </w:rPr>
              <w:t>High — $650B revenue requirement analysis is credible</w:t>
            </w:r>
          </w:p>
        </w:tc>
      </w:tr>
      <w:tr>
        <w:tc>
          <w:tcPr>
            <w:tcW w:type="dxa" w:w="2304"/>
            <w:shd w:val="clear" w:color="auto" w:fill="FFFFFF"/>
            <w:vAlign w:val="center"/>
          </w:tcPr>
          <w:p>
            <w:pPr>
              <w:spacing w:before="40" w:after="40"/>
              <w:jc w:val="left"/>
            </w:pPr>
            <w:r>
              <w:rPr>
                <w:color w:val="1A1A1A"/>
                <w:sz w:val="18"/>
              </w:rPr>
              <w:t>Bain &amp; Co</w:t>
            </w:r>
          </w:p>
        </w:tc>
        <w:tc>
          <w:tcPr>
            <w:tcW w:type="dxa" w:w="3312"/>
            <w:shd w:val="clear" w:color="auto" w:fill="FFFFFF"/>
            <w:vAlign w:val="center"/>
          </w:tcPr>
          <w:p>
            <w:pPr>
              <w:spacing w:before="40" w:after="40"/>
              <w:jc w:val="center"/>
            </w:pPr>
            <w:r>
              <w:rPr>
                <w:color w:val="1A1A1A"/>
                <w:sz w:val="18"/>
              </w:rPr>
              <w:t>Consulting firm</w:t>
            </w:r>
          </w:p>
        </w:tc>
        <w:tc>
          <w:tcPr>
            <w:tcW w:type="dxa" w:w="4320"/>
            <w:shd w:val="clear" w:color="auto" w:fill="FFFFFF"/>
            <w:vAlign w:val="center"/>
          </w:tcPr>
          <w:p>
            <w:pPr>
              <w:spacing w:before="40" w:after="40"/>
              <w:jc w:val="center"/>
            </w:pPr>
            <w:r>
              <w:rPr>
                <w:color w:val="1A1A1A"/>
                <w:sz w:val="18"/>
              </w:rPr>
              <w:t>Medium-High — $2T revenue requirement directionally correct</w:t>
            </w:r>
          </w:p>
        </w:tc>
      </w:tr>
      <w:tr>
        <w:tc>
          <w:tcPr>
            <w:tcW w:type="dxa" w:w="2304"/>
            <w:shd w:val="clear" w:color="auto" w:fill="F0F4F8"/>
            <w:vAlign w:val="center"/>
          </w:tcPr>
          <w:p>
            <w:pPr>
              <w:spacing w:before="40" w:after="40"/>
              <w:jc w:val="left"/>
            </w:pPr>
            <w:r>
              <w:rPr>
                <w:color w:val="1A1A1A"/>
                <w:sz w:val="18"/>
              </w:rPr>
              <w:t>MIT Media Lab (2025)</w:t>
            </w:r>
          </w:p>
        </w:tc>
        <w:tc>
          <w:tcPr>
            <w:tcW w:type="dxa" w:w="3312"/>
            <w:shd w:val="clear" w:color="auto" w:fill="F0F4F8"/>
            <w:vAlign w:val="center"/>
          </w:tcPr>
          <w:p>
            <w:pPr>
              <w:spacing w:before="40" w:after="40"/>
              <w:jc w:val="center"/>
            </w:pPr>
            <w:r>
              <w:rPr>
                <w:color w:val="1A1A1A"/>
                <w:sz w:val="18"/>
              </w:rPr>
              <w:t>Academic; no vendor relationships</w:t>
            </w:r>
          </w:p>
        </w:tc>
        <w:tc>
          <w:tcPr>
            <w:tcW w:type="dxa" w:w="4320"/>
            <w:shd w:val="clear" w:color="auto" w:fill="F0F4F8"/>
            <w:vAlign w:val="center"/>
          </w:tcPr>
          <w:p>
            <w:pPr>
              <w:spacing w:before="40" w:after="40"/>
              <w:jc w:val="center"/>
            </w:pPr>
            <w:r>
              <w:rPr>
                <w:color w:val="1A1A1A"/>
                <w:sz w:val="18"/>
              </w:rPr>
              <w:t>High — 150 interviews + 300 AI applications: solid methodology</w:t>
            </w:r>
          </w:p>
        </w:tc>
      </w:tr>
      <w:tr>
        <w:tc>
          <w:tcPr>
            <w:tcW w:type="dxa" w:w="2304"/>
            <w:shd w:val="clear" w:color="auto" w:fill="FFFFFF"/>
            <w:vAlign w:val="center"/>
          </w:tcPr>
          <w:p>
            <w:pPr>
              <w:spacing w:before="40" w:after="40"/>
              <w:jc w:val="left"/>
            </w:pPr>
            <w:r>
              <w:rPr>
                <w:color w:val="1A1A1A"/>
                <w:sz w:val="18"/>
              </w:rPr>
              <w:t>PwC CEO Survey</w:t>
            </w:r>
          </w:p>
        </w:tc>
        <w:tc>
          <w:tcPr>
            <w:tcW w:type="dxa" w:w="3312"/>
            <w:shd w:val="clear" w:color="auto" w:fill="FFFFFF"/>
            <w:vAlign w:val="center"/>
          </w:tcPr>
          <w:p>
            <w:pPr>
              <w:spacing w:before="40" w:after="40"/>
              <w:jc w:val="center"/>
            </w:pPr>
            <w:r>
              <w:rPr>
                <w:color w:val="1A1A1A"/>
                <w:sz w:val="18"/>
              </w:rPr>
              <w:t>Consulting; 4,454 CEOs across 95 countries</w:t>
            </w:r>
          </w:p>
        </w:tc>
        <w:tc>
          <w:tcPr>
            <w:tcW w:type="dxa" w:w="4320"/>
            <w:shd w:val="clear" w:color="auto" w:fill="FFFFFF"/>
            <w:vAlign w:val="center"/>
          </w:tcPr>
          <w:p>
            <w:pPr>
              <w:spacing w:before="40" w:after="40"/>
              <w:jc w:val="center"/>
            </w:pPr>
            <w:r>
              <w:rPr>
                <w:color w:val="1A1A1A"/>
                <w:sz w:val="18"/>
              </w:rPr>
              <w:t>High for adoption sentiment; CEO surveys are lagging indicators</w:t>
            </w:r>
          </w:p>
        </w:tc>
      </w:tr>
      <w:tr>
        <w:tc>
          <w:tcPr>
            <w:tcW w:type="dxa" w:w="2304"/>
            <w:shd w:val="clear" w:color="auto" w:fill="F0F4F8"/>
            <w:vAlign w:val="center"/>
          </w:tcPr>
          <w:p>
            <w:pPr>
              <w:spacing w:before="40" w:after="40"/>
              <w:jc w:val="left"/>
            </w:pPr>
            <w:r>
              <w:rPr>
                <w:color w:val="1A1A1A"/>
                <w:sz w:val="18"/>
              </w:rPr>
              <w:t>Morningstar</w:t>
            </w:r>
          </w:p>
        </w:tc>
        <w:tc>
          <w:tcPr>
            <w:tcW w:type="dxa" w:w="3312"/>
            <w:shd w:val="clear" w:color="auto" w:fill="F0F4F8"/>
            <w:vAlign w:val="center"/>
          </w:tcPr>
          <w:p>
            <w:pPr>
              <w:spacing w:before="40" w:after="40"/>
              <w:jc w:val="center"/>
            </w:pPr>
            <w:r>
              <w:rPr>
                <w:color w:val="1A1A1A"/>
                <w:sz w:val="18"/>
              </w:rPr>
              <w:t>Independent research; subscription-funded</w:t>
            </w:r>
          </w:p>
        </w:tc>
        <w:tc>
          <w:tcPr>
            <w:tcW w:type="dxa" w:w="4320"/>
            <w:shd w:val="clear" w:color="auto" w:fill="F0F4F8"/>
            <w:vAlign w:val="center"/>
          </w:tcPr>
          <w:p>
            <w:pPr>
              <w:spacing w:before="40" w:after="40"/>
              <w:jc w:val="center"/>
            </w:pPr>
            <w:r>
              <w:rPr>
                <w:color w:val="1A1A1A"/>
                <w:sz w:val="18"/>
              </w:rPr>
              <w:t>High — fair value estimates conservative but grounded</w:t>
            </w:r>
          </w:p>
        </w:tc>
      </w:tr>
      <w:tr>
        <w:tc>
          <w:tcPr>
            <w:tcW w:type="dxa" w:w="2304"/>
            <w:shd w:val="clear" w:color="auto" w:fill="FFFFFF"/>
            <w:vAlign w:val="center"/>
          </w:tcPr>
          <w:p>
            <w:pPr>
              <w:spacing w:before="40" w:after="40"/>
              <w:jc w:val="left"/>
            </w:pPr>
            <w:r>
              <w:rPr>
                <w:color w:val="1A1A1A"/>
                <w:sz w:val="18"/>
              </w:rPr>
              <w:t>Morgan Stanley</w:t>
            </w:r>
          </w:p>
        </w:tc>
        <w:tc>
          <w:tcPr>
            <w:tcW w:type="dxa" w:w="3312"/>
            <w:shd w:val="clear" w:color="auto" w:fill="FFFFFF"/>
            <w:vAlign w:val="center"/>
          </w:tcPr>
          <w:p>
            <w:pPr>
              <w:spacing w:before="40" w:after="40"/>
              <w:jc w:val="center"/>
            </w:pPr>
            <w:r>
              <w:rPr>
                <w:color w:val="1A1A1A"/>
                <w:sz w:val="18"/>
              </w:rPr>
              <w:t>Investment bank</w:t>
            </w:r>
          </w:p>
        </w:tc>
        <w:tc>
          <w:tcPr>
            <w:tcW w:type="dxa" w:w="4320"/>
            <w:shd w:val="clear" w:color="auto" w:fill="FFFFFF"/>
            <w:vAlign w:val="center"/>
          </w:tcPr>
          <w:p>
            <w:pPr>
              <w:spacing w:before="40" w:after="40"/>
              <w:jc w:val="center"/>
            </w:pPr>
            <w:r>
              <w:rPr>
                <w:color w:val="1A1A1A"/>
                <w:sz w:val="18"/>
              </w:rPr>
              <w:t>High — power shortage analysis particularly well-sourced</w:t>
            </w:r>
          </w:p>
        </w:tc>
      </w:tr>
      <w:tr>
        <w:tc>
          <w:tcPr>
            <w:tcW w:type="dxa" w:w="2304"/>
            <w:shd w:val="clear" w:color="auto" w:fill="F0F4F8"/>
            <w:vAlign w:val="center"/>
          </w:tcPr>
          <w:p>
            <w:pPr>
              <w:spacing w:before="40" w:after="40"/>
              <w:jc w:val="left"/>
            </w:pPr>
            <w:r>
              <w:rPr>
                <w:color w:val="1A1A1A"/>
                <w:sz w:val="18"/>
              </w:rPr>
              <w:t>Market research firms</w:t>
            </w:r>
          </w:p>
        </w:tc>
        <w:tc>
          <w:tcPr>
            <w:tcW w:type="dxa" w:w="3312"/>
            <w:shd w:val="clear" w:color="auto" w:fill="F0F4F8"/>
            <w:vAlign w:val="center"/>
          </w:tcPr>
          <w:p>
            <w:pPr>
              <w:spacing w:before="40" w:after="40"/>
              <w:jc w:val="center"/>
            </w:pPr>
            <w:r>
              <w:rPr>
                <w:color w:val="1A1A1A"/>
                <w:sz w:val="18"/>
              </w:rPr>
              <w:t>Revenue from report sales; incentive to project large markets</w:t>
            </w:r>
          </w:p>
        </w:tc>
        <w:tc>
          <w:tcPr>
            <w:tcW w:type="dxa" w:w="4320"/>
            <w:shd w:val="clear" w:color="auto" w:fill="F0F4F8"/>
            <w:vAlign w:val="center"/>
          </w:tcPr>
          <w:p>
            <w:pPr>
              <w:spacing w:before="40" w:after="40"/>
              <w:jc w:val="center"/>
            </w:pPr>
            <w:r>
              <w:rPr>
                <w:color w:val="1A1A1A"/>
                <w:sz w:val="18"/>
              </w:rPr>
              <w:t>Low-Medium — useful directionally, not for specific numbers</w:t>
            </w:r>
          </w:p>
        </w:tc>
      </w:tr>
      <w:tr>
        <w:tc>
          <w:tcPr>
            <w:tcW w:type="dxa" w:w="2304"/>
            <w:shd w:val="clear" w:color="auto" w:fill="FFFFFF"/>
            <w:vAlign w:val="center"/>
          </w:tcPr>
          <w:p>
            <w:pPr>
              <w:spacing w:before="40" w:after="40"/>
              <w:jc w:val="left"/>
            </w:pPr>
            <w:r>
              <w:rPr>
                <w:color w:val="1A1A1A"/>
                <w:sz w:val="18"/>
              </w:rPr>
              <w:t>Hindenburg Research</w:t>
            </w:r>
          </w:p>
        </w:tc>
        <w:tc>
          <w:tcPr>
            <w:tcW w:type="dxa" w:w="3312"/>
            <w:shd w:val="clear" w:color="auto" w:fill="FFFFFF"/>
            <w:vAlign w:val="center"/>
          </w:tcPr>
          <w:p>
            <w:pPr>
              <w:spacing w:before="40" w:after="40"/>
              <w:jc w:val="center"/>
            </w:pPr>
            <w:r>
              <w:rPr>
                <w:color w:val="1A1A1A"/>
                <w:sz w:val="18"/>
              </w:rPr>
              <w:t>Short-seller; adversarial incentive</w:t>
            </w:r>
          </w:p>
        </w:tc>
        <w:tc>
          <w:tcPr>
            <w:tcW w:type="dxa" w:w="4320"/>
            <w:shd w:val="clear" w:color="auto" w:fill="FFFFFF"/>
            <w:vAlign w:val="center"/>
          </w:tcPr>
          <w:p>
            <w:pPr>
              <w:spacing w:before="40" w:after="40"/>
              <w:jc w:val="center"/>
            </w:pPr>
            <w:r>
              <w:rPr>
                <w:color w:val="1A1A1A"/>
                <w:sz w:val="18"/>
              </w:rPr>
              <w:t>Medium — SMCI allegations proved directionally correct</w:t>
            </w:r>
          </w:p>
        </w:tc>
      </w:tr>
      <w:tr>
        <w:tc>
          <w:tcPr>
            <w:tcW w:type="dxa" w:w="2304"/>
            <w:shd w:val="clear" w:color="auto" w:fill="F0F4F8"/>
            <w:vAlign w:val="center"/>
          </w:tcPr>
          <w:p>
            <w:pPr>
              <w:spacing w:before="40" w:after="40"/>
              <w:jc w:val="left"/>
            </w:pPr>
            <w:r>
              <w:rPr>
                <w:color w:val="1A1A1A"/>
                <w:sz w:val="18"/>
              </w:rPr>
              <w:t>Muddy Waters</w:t>
            </w:r>
          </w:p>
        </w:tc>
        <w:tc>
          <w:tcPr>
            <w:tcW w:type="dxa" w:w="3312"/>
            <w:shd w:val="clear" w:color="auto" w:fill="F0F4F8"/>
            <w:vAlign w:val="center"/>
          </w:tcPr>
          <w:p>
            <w:pPr>
              <w:spacing w:before="40" w:after="40"/>
              <w:jc w:val="center"/>
            </w:pPr>
            <w:r>
              <w:rPr>
                <w:color w:val="1A1A1A"/>
                <w:sz w:val="18"/>
              </w:rPr>
              <w:t>Short-seller; adversarial incentive</w:t>
            </w:r>
          </w:p>
        </w:tc>
        <w:tc>
          <w:tcPr>
            <w:tcW w:type="dxa" w:w="4320"/>
            <w:shd w:val="clear" w:color="auto" w:fill="F0F4F8"/>
            <w:vAlign w:val="center"/>
          </w:tcPr>
          <w:p>
            <w:pPr>
              <w:spacing w:before="40" w:after="40"/>
              <w:jc w:val="center"/>
            </w:pPr>
            <w:r>
              <w:rPr>
                <w:color w:val="1A1A1A"/>
                <w:sz w:val="18"/>
              </w:rPr>
              <w:t>Medium — 2 major wins in 2025; methodology is rigorous</w:t>
            </w:r>
          </w:p>
        </w:tc>
      </w:tr>
    </w:tbl>
    <w:p/>
    <w:p>
      <w:pPr>
        <w:spacing w:before="320" w:after="80"/>
        <w:pBdr>
          <w:bottom w:val="single" w:sz="12" w:space="4" w:color="C9A02C"/>
        </w:pBdr>
      </w:pPr>
      <w:r>
        <w:rPr>
          <w:b/>
          <w:color w:val="0D2B55"/>
          <w:sz w:val="36"/>
        </w:rPr>
        <w:t>Conclusion</w:t>
      </w:r>
    </w:p>
    <w:p>
      <w:pPr>
        <w:spacing w:before="0" w:after="120"/>
      </w:pPr>
      <w:r>
        <w:rPr>
          <w:color w:val="1A1A1A"/>
          <w:sz w:val="21"/>
        </w:rPr>
        <w:t>The AI industry is real, the infrastructure cycle is genuine, and the next five years will create extraordinary wealth — but it will not be distributed evenly. The companies with the highest probability-weighted 5-year upside are those that own physical constraints: the fabrication monopoly (TSMC), the custom silicon design capability (Broadcom, Marvell), the memory architecture (Micron), the networking infrastructure (Arista), and the power infrastructure (Vertiv, Constellation Energy).</w:t>
      </w:r>
    </w:p>
    <w:p>
      <w:pPr>
        <w:spacing w:before="0" w:after="120"/>
      </w:pPr>
      <w:r>
        <w:rPr>
          <w:color w:val="1A1A1A"/>
          <w:sz w:val="21"/>
        </w:rPr>
        <w:t>The companies with the most compelling story but most dangerous valuations are those at the hype frontier: NVIDIA at 47–60× earnings and $4T market cap mirrors Cisco at the dot-com peak; Palantir at 110× sales has mathematical downside risk regardless of business quality.</w:t>
      </w:r>
    </w:p>
    <w:p>
      <w:pPr>
        <w:spacing w:before="0" w:after="120"/>
      </w:pPr>
      <w:r>
        <w:rPr>
          <w:color w:val="1A1A1A"/>
          <w:sz w:val="21"/>
        </w:rPr>
        <w:t>The most credible bear case is not that AI fails — it is that the infrastructure is built before enterprise demand materialises, creating a 2–3 year period of multiple compression that punishes hype-priced stocks while the underlying technology continues to progress. Investors who own the physical constraint plays should weather this compression and emerge with substantial gains by 2030–2031.</w:t>
      </w:r>
    </w:p>
    <w:p>
      <w:pPr>
        <w:spacing w:before="240"/>
        <w:pBdr>
          <w:bottom w:val="single" w:sz="6" w:space="4" w:color="C9A02C"/>
        </w:pBdr>
      </w:pPr>
      <w:r>
        <w:rPr>
          <w:i/>
          <w:color w:val="0D2B55"/>
          <w:sz w:val="22"/>
        </w:rPr>
        <w:t>The single most important insight: In the AI infrastructure buildout, the best analogy is not the internet bubble of 2000 — it is the 1800s railroad boom. During that era, the companies that survived and compounded wealth were not the railroads themselves (most went bankrupt) but the steel producers, the coal mines, and the land alongside the tracks. Own the picks and shovels.</w:t>
      </w:r>
    </w:p>
    <w:p/>
    <w:p>
      <w:pPr>
        <w:spacing w:before="320"/>
      </w:pPr>
      <w:r>
        <w:rPr>
          <w:i/>
          <w:color w:val="445B6D"/>
          <w:sz w:val="17"/>
        </w:rPr>
        <w:t>Disclaimer: This report is for informational and educational purposes only. It does not constitute investment advice. All projections involve significant uncertainty. Consult a qualified financial advisor before making investment decisions. Research methodology: parallel multi-agent synthesis from Gartner, McKinsey, Goldman Sachs, JPMorgan, Bain &amp; Co, Morgan Stanley, MIT Media Lab, PwC, Morningstar, Hindenburg Research, Muddy Waters, and primary SEC filings. Sources cross-validated; conflicting data points explicitly flagged. Institutional bias accounted for in all market size estimates. Report Date: May 2026.</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