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3D6B"/>
          <w:sz w:val="40"/>
        </w:rPr>
        <w:t>INSURTECH SOLUTIONS</w:t>
      </w:r>
    </w:p>
    <w:p>
      <w:pPr>
        <w:jc w:val="left"/>
      </w:pPr>
      <w:r>
        <w:rPr>
          <w:rFonts w:ascii="Calibri" w:hAnsi="Calibri"/>
          <w:color w:val="666666"/>
          <w:sz w:val="20"/>
        </w:rPr>
        <w:t>Managing General Agent — Ramo Cauzioni &amp; Fideiussioni</w:t>
      </w:r>
      <w:r>
        <w:rPr>
          <w:rFonts w:ascii="Calibri" w:hAnsi="Calibri"/>
          <w:color w:val="003D6B"/>
          <w:sz w:val="20"/>
        </w:rPr>
        <w:br/>
        <w:t>www.insurtechsolutions.it</w:t>
      </w:r>
    </w:p>
    <w:p>
      <w:pPr>
        <w:spacing w:before="40" w:after="240"/>
        <w:pBdr>
          <w:bottom w:val="single" w:sz="6" w:space="1" w:color="003D6B"/>
        </w:pBdr>
      </w:pPr>
    </w:p>
    <w:p>
      <w:pPr>
        <w:spacing w:after="400"/>
        <w:jc w:val="right"/>
      </w:pPr>
      <w:r>
        <w:rPr>
          <w:color w:val="666666"/>
          <w:sz w:val="20"/>
        </w:rPr>
        <w:t>27 February 2026</w:t>
      </w:r>
    </w:p>
    <w:p>
      <w:pPr>
        <w:spacing w:after="80"/>
      </w:pPr>
      <w:r>
        <w:rPr>
          <w:b/>
          <w:sz w:val="22"/>
        </w:rPr>
        <w:t>Spett.le HDI Global SE</w:t>
      </w:r>
    </w:p>
    <w:p>
      <w:pPr>
        <w:spacing w:after="40"/>
      </w:pPr>
      <w:r>
        <w:rPr>
          <w:sz w:val="22"/>
        </w:rPr>
        <w:t>Divisione Surety / Cauzioni</w:t>
      </w:r>
    </w:p>
    <w:p>
      <w:pPr>
        <w:spacing w:after="40"/>
      </w:pPr>
      <w:r>
        <w:rPr>
          <w:sz w:val="22"/>
        </w:rPr>
        <w:t>HDI-Platz 1, 30659 Hannover — Germania</w:t>
      </w:r>
    </w:p>
    <w:p>
      <w:pPr>
        <w:spacing w:after="320"/>
      </w:pPr>
      <w:r>
        <w:rPr>
          <w:color w:val="666666"/>
          <w:sz w:val="20"/>
        </w:rPr>
        <w:t>Gruppo Talanx AG — Rating S&amp;P: A+ (Stabile)</w:t>
      </w:r>
    </w:p>
    <w:p>
      <w:pPr>
        <w:spacing w:after="320"/>
      </w:pPr>
      <w:r>
        <w:rPr>
          <w:b/>
          <w:sz w:val="22"/>
        </w:rPr>
        <w:t xml:space="preserve">Oggetto: </w:t>
      </w:r>
      <w:r>
        <w:rPr>
          <w:b/>
          <w:color w:val="003D6B"/>
          <w:sz w:val="22"/>
        </w:rPr>
        <w:t>Proposta di Partnership MGA — Ramo Cauzioni/Fideiussioni in Italia</w:t>
      </w:r>
    </w:p>
    <w:p>
      <w:pPr>
        <w:spacing w:after="240" w:line="300" w:lineRule="exact"/>
      </w:pPr>
      <w:r>
        <w:rPr>
          <w:sz w:val="22"/>
        </w:rPr>
        <w:t>Gentilissimi,</w:t>
      </w:r>
    </w:p>
    <w:p>
      <w:pPr>
        <w:spacing w:after="240" w:line="300" w:lineRule="exact"/>
      </w:pPr>
      <w:r>
        <w:rPr>
          <w:sz w:val="22"/>
        </w:rPr>
        <w:t>Mi rivolgo a Voi in qualità di responsabile delle relazioni commerciali di Insurtech Solutions, Managing General Agent italiana specializzata nel ramo cauzioni e fideiussioni (surety). Siamo lieti di presentarVi una proposta di collaborazione che riteniamo possa rappresentare un'opportunità di reciproco interesse, anche in considerazione della consolidata presenza del Gruppo Talanx/HDI nel mercato assicurativo italiano attraverso HDI Assicurazioni.</w:t>
      </w:r>
    </w:p>
    <w:p>
      <w:pPr>
        <w:spacing w:after="160" w:line="300" w:lineRule="exact"/>
      </w:pPr>
      <w:r>
        <w:rPr>
          <w:b/>
          <w:sz w:val="22"/>
        </w:rPr>
        <w:t>1. Chi Siamo</w:t>
      </w:r>
    </w:p>
    <w:p>
      <w:pPr>
        <w:spacing w:after="240" w:line="300" w:lineRule="exact"/>
      </w:pPr>
      <w:r>
        <w:rPr>
          <w:sz w:val="22"/>
        </w:rPr>
        <w:t>Insurtech Solutions è una MGA di nuova generazione che combina competenze assicurative tradizionali nel ramo cauzioni con un approccio tecnologico avanzato. Operiamo con piattaforme digitali proprietarie per l'analisi del rischio, la sottoscrizione e la gestione del portafoglio, garantendo efficienza operativa, trasparenza e controllo in tempo reale per i nostri partner assicurativi.</w:t>
      </w:r>
    </w:p>
    <w:p>
      <w:pPr>
        <w:spacing w:after="160" w:line="300" w:lineRule="exact"/>
      </w:pPr>
      <w:r>
        <w:rPr>
          <w:b/>
          <w:sz w:val="22"/>
        </w:rPr>
        <w:t>2. La Nostra Proposta di Partnership</w:t>
      </w:r>
    </w:p>
    <w:p>
      <w:pPr>
        <w:spacing w:after="160" w:line="300" w:lineRule="exact"/>
      </w:pPr>
      <w:r>
        <w:rPr>
          <w:sz w:val="22"/>
        </w:rPr>
        <w:t>Proponiamo la strutturazione di un accordo di Delegated Underwriting Authority (DUA) attraverso il quale Insurtech Solutions opererebbe come sottoscrittore delegato per conto di HDI Global SE nel mercato italiano delle cauzioni, con focus su:</w:t>
      </w:r>
    </w:p>
    <w:p>
      <w:pPr>
        <w:spacing w:after="120" w:line="300" w:lineRule="exact"/>
        <w:ind w:left="567"/>
      </w:pPr>
      <w:r>
        <w:rPr>
          <w:color w:val="003D6B"/>
          <w:sz w:val="22"/>
        </w:rPr>
        <w:t xml:space="preserve">▸  </w:t>
      </w:r>
      <w:r>
        <w:rPr>
          <w:b/>
          <w:sz w:val="22"/>
        </w:rPr>
        <w:t>Cauzioni contrattuali per appalti pubblici</w:t>
      </w:r>
      <w:r>
        <w:rPr>
          <w:sz w:val="22"/>
        </w:rPr>
        <w:t xml:space="preserve"> — ai sensi del D.Lgs 36/2023 (nuovo Codice dei Contratti Pubblici): garanzie provvisorie (art. 106), garanzie definitive (art. 117), garanzie per l'esecuzione e svincolo progressivo;</w:t>
      </w:r>
    </w:p>
    <w:p>
      <w:pPr>
        <w:spacing w:after="120" w:line="300" w:lineRule="exact"/>
        <w:ind w:left="567"/>
      </w:pPr>
      <w:r>
        <w:rPr>
          <w:color w:val="003D6B"/>
          <w:sz w:val="22"/>
        </w:rPr>
        <w:t xml:space="preserve">▸  </w:t>
      </w:r>
      <w:r>
        <w:rPr>
          <w:b/>
          <w:sz w:val="22"/>
        </w:rPr>
        <w:t>Cauzioni commerciali</w:t>
      </w:r>
      <w:r>
        <w:rPr>
          <w:sz w:val="22"/>
        </w:rPr>
        <w:t xml:space="preserve"> — fideiussioni a favore di enti pubblici e privati per obblighi fiscali, doganali, contrattuali e regolamentari;</w:t>
      </w:r>
    </w:p>
    <w:p>
      <w:pPr>
        <w:spacing w:after="120" w:line="300" w:lineRule="exact"/>
        <w:ind w:left="567"/>
      </w:pPr>
      <w:r>
        <w:rPr>
          <w:color w:val="003D6B"/>
          <w:sz w:val="22"/>
        </w:rPr>
        <w:t xml:space="preserve">▸  </w:t>
      </w:r>
      <w:r>
        <w:rPr>
          <w:b/>
          <w:sz w:val="22"/>
        </w:rPr>
        <w:t>Fideiussioni immobiliari ex D.Lgs 122/2005</w:t>
      </w:r>
      <w:r>
        <w:rPr>
          <w:sz w:val="22"/>
        </w:rPr>
        <w:t xml:space="preserve"> — garanzie a tutela degli acquirenti di immobili da costruire, segmento in crescita costante e con margini tecnici interessanti.</w:t>
      </w:r>
    </w:p>
    <w:p>
      <w:pPr>
        <w:spacing w:after="80"/>
      </w:pPr>
    </w:p>
    <w:p>
      <w:pPr>
        <w:spacing w:after="160" w:line="300" w:lineRule="exact"/>
      </w:pPr>
      <w:r>
        <w:rPr>
          <w:b/>
          <w:sz w:val="22"/>
        </w:rPr>
        <w:t>3. Sinergia con HDI Assicurazioni in Italia</w:t>
      </w:r>
    </w:p>
    <w:p>
      <w:pPr>
        <w:spacing w:after="160" w:line="300" w:lineRule="exact"/>
      </w:pPr>
      <w:r>
        <w:rPr>
          <w:sz w:val="22"/>
        </w:rPr>
        <w:t>Siamo consapevoli che il Gruppo HDI/Talanx è già presente nel mercato italiano attraverso HDI Assicurazioni, con una solida reputazione e un'ampia rete distributiva. Riteniamo che una collaborazione con Insurtech Solutions possa essere complementare e sinergica rispetto all'attività già svolta dalla controllata italiana, in quanto:</w:t>
      </w:r>
    </w:p>
    <w:p>
      <w:pPr>
        <w:spacing w:after="120" w:line="300" w:lineRule="exact"/>
        <w:ind w:left="567"/>
      </w:pPr>
      <w:r>
        <w:rPr>
          <w:color w:val="003D6B"/>
          <w:sz w:val="22"/>
        </w:rPr>
        <w:t xml:space="preserve">•  </w:t>
      </w:r>
      <w:r>
        <w:rPr>
          <w:sz w:val="22"/>
        </w:rPr>
        <w:t>Offriamo un canale distributivo digitale specializzato esclusivamente nel ramo cauzioni, con processi snelli e tempi di emissione rapidi;</w:t>
      </w:r>
    </w:p>
    <w:p>
      <w:pPr>
        <w:spacing w:after="120" w:line="300" w:lineRule="exact"/>
        <w:ind w:left="567"/>
      </w:pPr>
      <w:r>
        <w:rPr>
          <w:color w:val="003D6B"/>
          <w:sz w:val="22"/>
        </w:rPr>
        <w:t xml:space="preserve">•  </w:t>
      </w:r>
      <w:r>
        <w:rPr>
          <w:sz w:val="22"/>
        </w:rPr>
        <w:t>La nostra piattaforma tecnologica consente un monitoraggio continuo del portafoglio con reporting granulare e bordereaux automatizzati;</w:t>
      </w:r>
    </w:p>
    <w:p>
      <w:pPr>
        <w:spacing w:after="120" w:line="300" w:lineRule="exact"/>
        <w:ind w:left="567"/>
      </w:pPr>
      <w:r>
        <w:rPr>
          <w:color w:val="003D6B"/>
          <w:sz w:val="22"/>
        </w:rPr>
        <w:t xml:space="preserve">•  </w:t>
      </w:r>
      <w:r>
        <w:rPr>
          <w:sz w:val="22"/>
        </w:rPr>
        <w:t>La struttura MGA permette flessibilità operativa mantenendo il pieno controllo del rischio da parte di HDI Global SE tramite linee guida di sottoscrizione concordate.</w:t>
      </w:r>
    </w:p>
    <w:p>
      <w:pPr>
        <w:spacing w:after="80"/>
      </w:pPr>
    </w:p>
    <w:p>
      <w:pPr>
        <w:spacing w:after="160" w:line="300" w:lineRule="exact"/>
      </w:pPr>
      <w:r>
        <w:rPr>
          <w:b/>
          <w:sz w:val="22"/>
        </w:rPr>
        <w:t>4. Struttura Operativa Proposta</w:t>
      </w:r>
    </w:p>
    <w:p>
      <w:pPr>
        <w:spacing w:after="160" w:line="300" w:lineRule="exact"/>
      </w:pPr>
      <w:r>
        <w:rPr>
          <w:sz w:val="22"/>
        </w:rPr>
        <w:t>In sintesi, la struttura della DUA prevede:</w:t>
      </w:r>
    </w:p>
    <w:p>
      <w:pPr>
        <w:spacing w:after="80" w:line="300" w:lineRule="exact"/>
        <w:ind w:left="567"/>
      </w:pPr>
      <w:r>
        <w:rPr>
          <w:color w:val="003D6B"/>
          <w:sz w:val="22"/>
        </w:rPr>
        <w:t xml:space="preserve">▸  </w:t>
      </w:r>
      <w:r>
        <w:rPr>
          <w:b/>
          <w:sz w:val="22"/>
        </w:rPr>
        <w:t xml:space="preserve">Capacity Provider: </w:t>
      </w:r>
      <w:r>
        <w:rPr>
          <w:sz w:val="22"/>
        </w:rPr>
        <w:t>HDI Global SE (rating A+ S&amp;P)</w:t>
      </w:r>
    </w:p>
    <w:p>
      <w:pPr>
        <w:spacing w:after="80" w:line="300" w:lineRule="exact"/>
        <w:ind w:left="567"/>
      </w:pPr>
      <w:r>
        <w:rPr>
          <w:color w:val="003D6B"/>
          <w:sz w:val="22"/>
        </w:rPr>
        <w:t xml:space="preserve">▸  </w:t>
      </w:r>
      <w:r>
        <w:rPr>
          <w:b/>
          <w:sz w:val="22"/>
        </w:rPr>
        <w:t xml:space="preserve">MGA / Sottoscrittore delegato: </w:t>
      </w:r>
      <w:r>
        <w:rPr>
          <w:sz w:val="22"/>
        </w:rPr>
        <w:t>Insurtech Solutions</w:t>
      </w:r>
    </w:p>
    <w:p>
      <w:pPr>
        <w:spacing w:after="80" w:line="300" w:lineRule="exact"/>
        <w:ind w:left="567"/>
      </w:pPr>
      <w:r>
        <w:rPr>
          <w:color w:val="003D6B"/>
          <w:sz w:val="22"/>
        </w:rPr>
        <w:t xml:space="preserve">▸  </w:t>
      </w:r>
      <w:r>
        <w:rPr>
          <w:b/>
          <w:sz w:val="22"/>
        </w:rPr>
        <w:t xml:space="preserve">Ramo: </w:t>
      </w:r>
      <w:r>
        <w:rPr>
          <w:sz w:val="22"/>
        </w:rPr>
        <w:t>Cauzioni e Fideiussioni (Ramo 15)</w:t>
      </w:r>
    </w:p>
    <w:p>
      <w:pPr>
        <w:spacing w:after="80" w:line="300" w:lineRule="exact"/>
        <w:ind w:left="567"/>
      </w:pPr>
      <w:r>
        <w:rPr>
          <w:color w:val="003D6B"/>
          <w:sz w:val="22"/>
        </w:rPr>
        <w:t xml:space="preserve">▸  </w:t>
      </w:r>
      <w:r>
        <w:rPr>
          <w:b/>
          <w:sz w:val="22"/>
        </w:rPr>
        <w:t xml:space="preserve">Ambito territoriale: </w:t>
      </w:r>
      <w:r>
        <w:rPr>
          <w:sz w:val="22"/>
        </w:rPr>
        <w:t>Italia</w:t>
      </w:r>
    </w:p>
    <w:p>
      <w:pPr>
        <w:spacing w:after="80" w:line="300" w:lineRule="exact"/>
        <w:ind w:left="567"/>
      </w:pPr>
      <w:r>
        <w:rPr>
          <w:color w:val="003D6B"/>
          <w:sz w:val="22"/>
        </w:rPr>
        <w:t xml:space="preserve">▸  </w:t>
      </w:r>
      <w:r>
        <w:rPr>
          <w:b/>
          <w:sz w:val="22"/>
        </w:rPr>
        <w:t xml:space="preserve">Limiti di sottoscrizione: </w:t>
      </w:r>
      <w:r>
        <w:rPr>
          <w:sz w:val="22"/>
        </w:rPr>
        <w:t>Da concordare in base alla risk appetite e alle linee guida di HDI</w:t>
      </w:r>
    </w:p>
    <w:p>
      <w:pPr>
        <w:spacing w:after="80" w:line="300" w:lineRule="exact"/>
        <w:ind w:left="567"/>
      </w:pPr>
      <w:r>
        <w:rPr>
          <w:color w:val="003D6B"/>
          <w:sz w:val="22"/>
        </w:rPr>
        <w:t xml:space="preserve">▸  </w:t>
      </w:r>
      <w:r>
        <w:rPr>
          <w:b/>
          <w:sz w:val="22"/>
        </w:rPr>
        <w:t xml:space="preserve">Reporting: </w:t>
      </w:r>
      <w:r>
        <w:rPr>
          <w:sz w:val="22"/>
        </w:rPr>
        <w:t>Bordereaux mensili, reporting trimestrale, accesso dashboard in tempo reale</w:t>
      </w:r>
    </w:p>
    <w:p>
      <w:pPr>
        <w:spacing w:after="80" w:line="300" w:lineRule="exact"/>
        <w:ind w:left="567"/>
      </w:pPr>
      <w:r>
        <w:rPr>
          <w:color w:val="003D6B"/>
          <w:sz w:val="22"/>
        </w:rPr>
        <w:t xml:space="preserve">▸  </w:t>
      </w:r>
      <w:r>
        <w:rPr>
          <w:b/>
          <w:sz w:val="22"/>
        </w:rPr>
        <w:t xml:space="preserve">Compliance: </w:t>
      </w:r>
      <w:r>
        <w:rPr>
          <w:sz w:val="22"/>
        </w:rPr>
        <w:t>Piena conformità Reg. IVASS 40/2018, D.Lgs 209/2005, normativa AML</w:t>
      </w:r>
    </w:p>
    <w:p>
      <w:pPr>
        <w:spacing w:after="80"/>
      </w:pPr>
    </w:p>
    <w:p>
      <w:pPr>
        <w:spacing w:after="160" w:line="300" w:lineRule="exact"/>
      </w:pPr>
      <w:r>
        <w:rPr>
          <w:b/>
          <w:sz w:val="22"/>
        </w:rPr>
        <w:t>5. Prossimi Passi</w:t>
      </w:r>
    </w:p>
    <w:p>
      <w:pPr>
        <w:spacing w:after="240" w:line="300" w:lineRule="exact"/>
      </w:pPr>
      <w:r>
        <w:rPr>
          <w:sz w:val="22"/>
        </w:rPr>
        <w:t>Saremmo lieti di organizzare un incontro — in presenza presso la Vostra sede di Hannover o in videoconferenza — per approfondire la nostra proposta e presentarVi nel dettaglio la nostra piattaforma tecnologica, il business plan e il track record nel ramo cauzioni italiano. Siamo naturalmente disponibili a coinvolgere i colleghi di HDI Assicurazioni Italia qualora lo riteniate opportuno.</w:t>
      </w:r>
    </w:p>
    <w:p>
      <w:pPr>
        <w:spacing w:after="240" w:line="300" w:lineRule="exact"/>
      </w:pPr>
      <w:r>
        <w:rPr>
          <w:sz w:val="22"/>
        </w:rPr>
        <w:t>Rimaniamo a completa disposizione per qualsiasi chiarimento e confidiamo nell'opportunità di avviare un dialogo costruttivo.</w:t>
      </w:r>
    </w:p>
    <w:p>
      <w:pPr>
        <w:spacing w:after="320" w:line="300" w:lineRule="exact"/>
      </w:pPr>
      <w:r>
        <w:rPr>
          <w:sz w:val="22"/>
        </w:rPr>
        <w:t>Con i migliori saluti,</w:t>
      </w:r>
    </w:p>
    <w:p>
      <w:pPr>
        <w:spacing w:after="40"/>
      </w:pPr>
      <w:r>
        <w:rPr>
          <w:b/>
          <w:color w:val="003D6B"/>
          <w:sz w:val="22"/>
        </w:rPr>
        <w:t>Insurtech Solutions S.r.l.</w:t>
      </w:r>
    </w:p>
    <w:p>
      <w:pPr>
        <w:spacing w:after="40"/>
      </w:pPr>
      <w:r>
        <w:rPr>
          <w:sz w:val="22"/>
        </w:rPr>
        <w:t>Direzione Relazioni Commerciali</w:t>
      </w:r>
    </w:p>
    <w:p>
      <w:pPr>
        <w:spacing w:after="40"/>
      </w:pPr>
      <w:r>
        <w:rPr>
          <w:color w:val="003D6B"/>
          <w:sz w:val="20"/>
        </w:rPr>
        <w:t>www.insurtechsolutions.it</w:t>
      </w:r>
    </w:p>
    <w:p>
      <w:pPr>
        <w:spacing w:after="40"/>
      </w:pPr>
      <w:r>
        <w:rPr>
          <w:sz w:val="20"/>
        </w:rPr>
        <w:t>Email: info@insurtechsolutions.it</w:t>
      </w:r>
    </w:p>
    <w:p>
      <w:r>
        <w:br w:type="page"/>
      </w:r>
    </w:p>
    <w:p>
      <w:pPr>
        <w:spacing w:after="320"/>
        <w:jc w:val="center"/>
      </w:pPr>
      <w:r>
        <w:rPr>
          <w:b/>
          <w:color w:val="CC0000"/>
          <w:sz w:val="28"/>
        </w:rPr>
        <w:t>NOTE INTERNE — NON INVIARE AL DESTINATARIO</w:t>
      </w:r>
    </w:p>
    <w:p>
      <w:pPr>
        <w:spacing w:after="240"/>
        <w:pBdr>
          <w:bottom w:val="single" w:sz="6" w:space="1" w:color="CC0000"/>
        </w:pBdr>
      </w:pPr>
    </w:p>
    <w:p>
      <w:pPr>
        <w:spacing w:after="160" w:line="300" w:lineRule="exact"/>
      </w:pPr>
      <w:r>
        <w:rPr>
          <w:b/>
          <w:color w:val="333333"/>
          <w:sz w:val="20"/>
        </w:rPr>
        <w:t xml:space="preserve">Destinatario: </w:t>
      </w:r>
      <w:r>
        <w:rPr>
          <w:color w:val="555555"/>
          <w:sz w:val="20"/>
        </w:rPr>
        <w:t>HDI Global SE — Divisione Surety/Cauzioni, Hannover (Germania). Parte del Gruppo Talanx AG. Rating S&amp;P: A+ (Stabile). Uno dei principali assicuratori industriali europei con significativa presenza nel ramo cauzioni.</w:t>
      </w:r>
    </w:p>
    <w:p>
      <w:pPr>
        <w:spacing w:after="160" w:line="300" w:lineRule="exact"/>
      </w:pPr>
      <w:r>
        <w:rPr>
          <w:b/>
          <w:color w:val="333333"/>
          <w:sz w:val="20"/>
        </w:rPr>
        <w:t xml:space="preserve">Strategia di contatto: </w:t>
      </w:r>
      <w:r>
        <w:rPr>
          <w:color w:val="555555"/>
          <w:sz w:val="20"/>
        </w:rPr>
        <w:t>Lettera in italiano dato che HDI ha già operazioni consolidate in Italia tramite HDI Assicurazioni. Il tono è professionale ma leggermente più caldo rispetto alle lettere a Tokio Marine HCC e Liberty Mutual (scritte in inglese), enfatizzando la sinergia con le operazioni italiane esistenti del gruppo.</w:t>
      </w:r>
    </w:p>
    <w:p>
      <w:pPr>
        <w:spacing w:after="160" w:line="300" w:lineRule="exact"/>
      </w:pPr>
      <w:r>
        <w:rPr>
          <w:b/>
          <w:color w:val="333333"/>
          <w:sz w:val="20"/>
        </w:rPr>
        <w:t xml:space="preserve">Punti di forza da enfatizzare in follow-up: </w:t>
      </w:r>
      <w:r>
        <w:rPr>
          <w:color w:val="555555"/>
          <w:sz w:val="20"/>
        </w:rPr>
        <w:t>(1) La presenza di HDI Assicurazioni in Italia facilita l'onboarding regolamentare; (2) Il mercato cauzioni italiano è frammentato e c'è spazio per un player tecnologico; (3) Il D.Lgs 36/2023 ha rinnovato il quadro normativo appalti creando nuove opportunità; (4) Le fideiussioni immobiliari ex D.Lgs 122/2005 sono un segmento in crescita.</w:t>
      </w:r>
    </w:p>
    <w:p>
      <w:pPr>
        <w:spacing w:after="160" w:line="300" w:lineRule="exact"/>
      </w:pPr>
      <w:r>
        <w:rPr>
          <w:b/>
          <w:color w:val="333333"/>
          <w:sz w:val="20"/>
        </w:rPr>
        <w:t xml:space="preserve">Possibili obiezioni e risposte: </w:t>
      </w:r>
      <w:r>
        <w:rPr>
          <w:color w:val="555555"/>
          <w:sz w:val="20"/>
        </w:rPr>
        <w:t>(1) "Abbiamo già HDI Assicurazioni in Italia" → La MGA è complementare, non competitiva: canale digitale specializzato vs. rete tradizionale generalista. (2) "Risk appetite limitata sul mercato italiano" → Proporre limiti di sottoscrizione conservativi iniziali con crescita graduale. (3) "Preferenza per operazioni dirette" → Evidenziare efficienza del modello MGA: costi variabili, nessun investimento in struttura locale aggiuntiva.</w:t>
      </w:r>
    </w:p>
    <w:p>
      <w:pPr>
        <w:spacing w:after="160" w:line="300" w:lineRule="exact"/>
      </w:pPr>
      <w:r>
        <w:rPr>
          <w:b/>
          <w:color w:val="333333"/>
          <w:sz w:val="20"/>
        </w:rPr>
        <w:t xml:space="preserve">Referente suggerito: </w:t>
      </w:r>
      <w:r>
        <w:rPr>
          <w:color w:val="555555"/>
          <w:sz w:val="20"/>
        </w:rPr>
        <w:t>Cercare il responsabile della divisione Surety/Credit di HDI Global SE. In alternativa, contattare la direzione di HDI Assicurazioni Italia per un'introduzione interna al gruppo. LinkedIn è il canale più efficace per identificare i decision maker.</w:t>
      </w:r>
    </w:p>
    <w:p>
      <w:pPr>
        <w:spacing w:after="160" w:line="300" w:lineRule="exact"/>
      </w:pPr>
      <w:r>
        <w:rPr>
          <w:b/>
          <w:color w:val="333333"/>
          <w:sz w:val="20"/>
        </w:rPr>
        <w:t xml:space="preserve">Contesto competitivo: </w:t>
      </w:r>
      <w:r>
        <w:rPr>
          <w:color w:val="555555"/>
          <w:sz w:val="20"/>
        </w:rPr>
        <w:t>Questa bozza fa parte di una campagna di contatto verso le top 3 compagnie surety europee: (1) Tokio Marine HCC — bozza in preparazione parallela; (2) Liberty Mutual Surety — bozza in preparazione parallela; (3) HDI Global SE — questa bozza. L'obiettivo è diversificare la capacity e non dipendere da un unico carrier.</w:t>
      </w:r>
    </w:p>
    <w:p>
      <w:pPr>
        <w:spacing w:after="160" w:line="300" w:lineRule="exact"/>
      </w:pPr>
      <w:r>
        <w:rPr>
          <w:b/>
          <w:color w:val="333333"/>
          <w:sz w:val="20"/>
        </w:rPr>
        <w:t xml:space="preserve">Prossimi passi interni: </w:t>
      </w:r>
      <w:r>
        <w:rPr>
          <w:color w:val="555555"/>
          <w:sz w:val="20"/>
        </w:rPr>
        <w:t>(1) Revisione della bozza da parte del management; (2) Personalizzazione con nome del referente specifico una volta identificato; (3) Preparazione del business plan e della presentazione dettagliata della piattaforma; (4) Preparazione della proposta di linee guida di sottoscrizione (underwriting guidelines); (5) Invio tramite email e follow-up telefonico entro 5 giorni lavorativi.</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