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3366"/>
          <w:sz w:val="44"/>
        </w:rPr>
        <w:t>INSURTECH SOLUTIONS</w:t>
      </w:r>
    </w:p>
    <w:p>
      <w:pPr>
        <w:jc w:val="left"/>
      </w:pPr>
      <w:r>
        <w:rPr>
          <w:i/>
          <w:color w:val="646464"/>
          <w:sz w:val="22"/>
        </w:rPr>
        <w:t>Managing General Agent — Surety &amp; Bonds</w:t>
      </w:r>
    </w:p>
    <w:p>
      <w:pPr>
        <w:jc w:val="left"/>
      </w:pPr>
      <w:r>
        <w:rPr>
          <w:color w:val="003366"/>
          <w:sz w:val="18"/>
        </w:rPr>
        <w:t>www.insurtechsolutions.it</w:t>
      </w:r>
    </w:p>
    <w:p>
      <w:pPr>
        <w:spacing w:before="40" w:after="240"/>
        <w:pBdr>
          <w:bottom w:val="single" w:sz="6" w:space="1" w:color="003366"/>
        </w:pBdr>
      </w:pPr>
    </w:p>
    <w:p>
      <w:pPr>
        <w:jc w:val="right"/>
      </w:pPr>
      <w:r>
        <w:rPr>
          <w:color w:val="505050"/>
          <w:sz w:val="20"/>
        </w:rPr>
        <w:t>February 27, 2026</w:t>
      </w:r>
    </w:p>
    <w:p>
      <w:pPr>
        <w:spacing w:after="0" w:before="0"/>
      </w:pPr>
      <w:r>
        <w:rPr>
          <w:sz w:val="20"/>
        </w:rPr>
        <w:t>Liberty Mutual Surety</w:t>
      </w:r>
    </w:p>
    <w:p>
      <w:pPr>
        <w:spacing w:after="0" w:before="0"/>
      </w:pPr>
      <w:r>
        <w:rPr>
          <w:sz w:val="20"/>
        </w:rPr>
        <w:t>Surety Division — International Business Development</w:t>
      </w:r>
    </w:p>
    <w:p>
      <w:pPr>
        <w:spacing w:after="0" w:before="0"/>
      </w:pPr>
      <w:r>
        <w:rPr>
          <w:sz w:val="20"/>
        </w:rPr>
        <w:t>175 Berkeley Street</w:t>
      </w:r>
    </w:p>
    <w:p>
      <w:pPr>
        <w:spacing w:after="0" w:before="0"/>
      </w:pPr>
      <w:r>
        <w:rPr>
          <w:sz w:val="20"/>
        </w:rPr>
        <w:t>Boston, MA 02116, USA</w:t>
      </w:r>
    </w:p>
    <w:p/>
    <w:p>
      <w:pPr>
        <w:spacing w:after="120"/>
      </w:pPr>
      <w:r>
        <w:rPr>
          <w:b/>
          <w:color w:val="003366"/>
          <w:sz w:val="22"/>
        </w:rPr>
        <w:t>Re: MGA Partnership Opportunity — Italian Surety Market</w:t>
      </w:r>
    </w:p>
    <w:p>
      <w:r>
        <w:rPr>
          <w:sz w:val="21"/>
        </w:rPr>
        <w:t>Dear Sir / Madam,</w:t>
      </w:r>
    </w:p>
    <w:p>
      <w:pPr>
        <w:spacing w:after="160"/>
        <w:jc w:val="both"/>
      </w:pPr>
      <w:r>
        <w:rPr>
          <w:b w:val="0"/>
          <w:sz w:val="21"/>
        </w:rPr>
        <w:t>I am writing on behalf of Insurtech Solutions, a Managing General Agent (MGA) based in Italy and specializing in the surety and bond market. We are reaching out to explore a strategic partnership with Liberty Mutual Surety, which we regard as one of the premier surety carriers globally, with an outstanding A (Excellent) rating from AM Best and a proven track record in delegated authority models.</w:t>
      </w:r>
    </w:p>
    <w:p>
      <w:pPr>
        <w:spacing w:after="160"/>
        <w:jc w:val="both"/>
      </w:pPr>
      <w:r>
        <w:rPr>
          <w:b w:val="0"/>
          <w:sz w:val="21"/>
        </w:rPr>
        <w:t>The Italian surety market presents compelling and largely untapped opportunities for international carriers. With the recent enactment of D.Lgs 36/2023 — the new Italian Public Procurement Code — the demand for surety bonds in public works, services and supply contracts has been further strengthened and modernized. Italy's public procurement market exceeds €200 billion annually, with surety bonds mandated by law for virtually every public contract. Additionally, significant demand exists in the private sector, including real estate guarantees under D.Lgs 122/2005 and commercial bonds governed by Articles 1936–1957 of the Italian Civil Code.</w:t>
      </w:r>
    </w:p>
    <w:p>
      <w:pPr>
        <w:spacing w:after="80"/>
        <w:jc w:val="both"/>
      </w:pPr>
      <w:r>
        <w:rPr>
          <w:b/>
          <w:sz w:val="21"/>
        </w:rPr>
        <w:t>Our Value Proposition</w:t>
      </w:r>
    </w:p>
    <w:p>
      <w:pPr>
        <w:spacing w:after="160"/>
        <w:jc w:val="both"/>
      </w:pPr>
      <w:r>
        <w:rPr>
          <w:b w:val="0"/>
          <w:sz w:val="21"/>
        </w:rPr>
        <w:t>Insurtech Solutions offers Liberty Mutual Surety a turnkey platform for entering or expanding in the Italian surety market, with the following capabilities:</w:t>
      </w:r>
    </w:p>
    <w:p>
      <w:pPr>
        <w:pStyle w:val="ListBullet"/>
        <w:spacing w:after="60"/>
        <w:jc w:val="both"/>
      </w:pPr>
      <w:r>
        <w:rPr>
          <w:b/>
          <w:sz w:val="21"/>
        </w:rPr>
        <w:t xml:space="preserve">Deep Regulatory Expertise: </w:t>
      </w:r>
      <w:r>
        <w:rPr>
          <w:sz w:val="21"/>
        </w:rPr>
        <w:t>Full command of Italian surety regulations, including the Public Procurement Code (D.Lgs 36/2023), IVASS Distribution Regulation (Reg. 40/2018), and Anti-Money Laundering requirements (D.Lgs 231/2007).</w:t>
      </w:r>
    </w:p>
    <w:p>
      <w:pPr>
        <w:pStyle w:val="ListBullet"/>
        <w:spacing w:after="60"/>
        <w:jc w:val="both"/>
      </w:pPr>
      <w:r>
        <w:rPr>
          <w:b/>
          <w:sz w:val="21"/>
        </w:rPr>
        <w:t xml:space="preserve">Underwriting Capabilities: </w:t>
      </w:r>
      <w:r>
        <w:rPr>
          <w:sz w:val="21"/>
        </w:rPr>
        <w:t>Experienced surety underwriters with robust risk assessment methodologies, financial analysis frameworks, and Italian market-specific pricing models.</w:t>
      </w:r>
    </w:p>
    <w:p>
      <w:pPr>
        <w:pStyle w:val="ListBullet"/>
        <w:spacing w:after="60"/>
        <w:jc w:val="both"/>
      </w:pPr>
      <w:r>
        <w:rPr>
          <w:b/>
          <w:sz w:val="21"/>
        </w:rPr>
        <w:t xml:space="preserve">Technology-Enabled Operations: </w:t>
      </w:r>
      <w:r>
        <w:rPr>
          <w:sz w:val="21"/>
        </w:rPr>
        <w:t>Digital-first MGA platform for policy issuance, portfolio management, claims handling, and real-time bordereaux reporting to capacity providers.</w:t>
      </w:r>
    </w:p>
    <w:p>
      <w:pPr>
        <w:pStyle w:val="ListBullet"/>
        <w:spacing w:after="60"/>
        <w:jc w:val="both"/>
      </w:pPr>
      <w:r>
        <w:rPr>
          <w:b/>
          <w:sz w:val="21"/>
        </w:rPr>
        <w:t xml:space="preserve">Distribution Network: </w:t>
      </w:r>
      <w:r>
        <w:rPr>
          <w:sz w:val="21"/>
        </w:rPr>
        <w:t>Established relationships with Italian insurance brokers and agents across the national territory, providing immediate market access.</w:t>
      </w:r>
    </w:p>
    <w:p>
      <w:pPr>
        <w:pStyle w:val="ListBullet"/>
        <w:spacing w:after="60"/>
        <w:jc w:val="both"/>
      </w:pPr>
      <w:r>
        <w:rPr>
          <w:b/>
          <w:sz w:val="21"/>
        </w:rPr>
        <w:t xml:space="preserve">Compliance Infrastructure: </w:t>
      </w:r>
      <w:r>
        <w:rPr>
          <w:sz w:val="21"/>
        </w:rPr>
        <w:t>Full AML/KYC processes, IVASS-compliant distribution model, and GDPR-aligned data management.</w:t>
      </w:r>
    </w:p>
    <w:p/>
    <w:p>
      <w:pPr>
        <w:spacing w:after="80"/>
        <w:jc w:val="both"/>
      </w:pPr>
      <w:r>
        <w:rPr>
          <w:b/>
          <w:sz w:val="21"/>
        </w:rPr>
        <w:t>Proposed Partnership Structure</w:t>
      </w:r>
    </w:p>
    <w:p>
      <w:pPr>
        <w:spacing w:after="160"/>
        <w:jc w:val="both"/>
      </w:pPr>
      <w:r>
        <w:rPr>
          <w:b w:val="0"/>
          <w:sz w:val="21"/>
        </w:rPr>
        <w:t>We propose establishing a Delegated Underwriting Authority (DUA) / Binding Authority agreement under which Insurtech Solutions would underwrite surety bonds on behalf of Liberty Mutual Surety within agreed parameters, including:</w:t>
      </w:r>
    </w:p>
    <w:p>
      <w:pPr>
        <w:pStyle w:val="ListBullet"/>
        <w:spacing w:after="60"/>
      </w:pPr>
      <w:r>
        <w:rPr>
          <w:sz w:val="21"/>
        </w:rPr>
        <w:t>Defined underwriting guidelines and per-risk / aggregate limits</w:t>
      </w:r>
    </w:p>
    <w:p>
      <w:pPr>
        <w:pStyle w:val="ListBullet"/>
        <w:spacing w:after="60"/>
      </w:pPr>
      <w:r>
        <w:rPr>
          <w:sz w:val="21"/>
        </w:rPr>
        <w:t>Transparent commission and profit-sharing structure</w:t>
      </w:r>
    </w:p>
    <w:p>
      <w:pPr>
        <w:pStyle w:val="ListBullet"/>
        <w:spacing w:after="60"/>
      </w:pPr>
      <w:r>
        <w:rPr>
          <w:sz w:val="21"/>
        </w:rPr>
        <w:t>Monthly bordereaux reporting with full data transparency</w:t>
      </w:r>
    </w:p>
    <w:p>
      <w:pPr>
        <w:pStyle w:val="ListBullet"/>
        <w:spacing w:after="60"/>
      </w:pPr>
      <w:r>
        <w:rPr>
          <w:sz w:val="21"/>
        </w:rPr>
        <w:t>Quarterly portfolio reviews and joint strategy sessions</w:t>
      </w:r>
    </w:p>
    <w:p>
      <w:pPr>
        <w:pStyle w:val="ListBullet"/>
        <w:spacing w:after="60"/>
      </w:pPr>
      <w:r>
        <w:rPr>
          <w:sz w:val="21"/>
        </w:rPr>
        <w:t>Claims handling protocols with defined authority levels</w:t>
      </w:r>
    </w:p>
    <w:p/>
    <w:p>
      <w:pPr>
        <w:spacing w:after="80"/>
        <w:jc w:val="both"/>
      </w:pPr>
      <w:r>
        <w:rPr>
          <w:b/>
          <w:sz w:val="21"/>
        </w:rPr>
        <w:t>Target Bond Classes</w:t>
      </w:r>
    </w:p>
    <w:p>
      <w:pPr>
        <w:pStyle w:val="ListBullet"/>
        <w:spacing w:after="60"/>
      </w:pPr>
      <w:r>
        <w:rPr>
          <w:b/>
          <w:sz w:val="21"/>
        </w:rPr>
        <w:t xml:space="preserve">Bid Bonds / Performance Bonds: </w:t>
      </w:r>
      <w:r>
        <w:rPr>
          <w:sz w:val="21"/>
        </w:rPr>
        <w:t>For public procurement contracts under D.Lgs 36/2023</w:t>
      </w:r>
    </w:p>
    <w:p>
      <w:pPr>
        <w:pStyle w:val="ListBullet"/>
        <w:spacing w:after="60"/>
      </w:pPr>
      <w:r>
        <w:rPr>
          <w:b/>
          <w:sz w:val="21"/>
        </w:rPr>
        <w:t xml:space="preserve">Advance Payment Bonds: </w:t>
      </w:r>
      <w:r>
        <w:rPr>
          <w:sz w:val="21"/>
        </w:rPr>
        <w:t>Guaranteeing restitution of advance payments in public and private works</w:t>
      </w:r>
    </w:p>
    <w:p>
      <w:pPr>
        <w:pStyle w:val="ListBullet"/>
        <w:spacing w:after="60"/>
      </w:pPr>
      <w:r>
        <w:rPr>
          <w:b/>
          <w:sz w:val="21"/>
        </w:rPr>
        <w:t xml:space="preserve">Retention Money Bonds: </w:t>
      </w:r>
      <w:r>
        <w:rPr>
          <w:sz w:val="21"/>
        </w:rPr>
        <w:t>Replacing cash retention in construction contracts</w:t>
      </w:r>
    </w:p>
    <w:p>
      <w:pPr>
        <w:pStyle w:val="ListBullet"/>
        <w:spacing w:after="60"/>
      </w:pPr>
      <w:r>
        <w:rPr>
          <w:b/>
          <w:sz w:val="21"/>
        </w:rPr>
        <w:t xml:space="preserve">Real Estate Bonds: </w:t>
      </w:r>
      <w:r>
        <w:rPr>
          <w:sz w:val="21"/>
        </w:rPr>
        <w:t>Under D.Lgs 122/2005 for off-plan property purchases</w:t>
      </w:r>
    </w:p>
    <w:p>
      <w:pPr>
        <w:pStyle w:val="ListBullet"/>
        <w:spacing w:after="60"/>
      </w:pPr>
      <w:r>
        <w:rPr>
          <w:b/>
          <w:sz w:val="21"/>
        </w:rPr>
        <w:t xml:space="preserve">Commercial / Customs Bonds: </w:t>
      </w:r>
      <w:r>
        <w:rPr>
          <w:sz w:val="21"/>
        </w:rPr>
        <w:t>Tax deferrals, VAT guarantees, customs duties</w:t>
      </w:r>
    </w:p>
    <w:p/>
    <w:p>
      <w:pPr>
        <w:spacing w:after="160"/>
        <w:jc w:val="both"/>
      </w:pPr>
      <w:r>
        <w:rPr>
          <w:b w:val="0"/>
          <w:sz w:val="21"/>
        </w:rPr>
        <w:t>We would welcome the opportunity to schedule a meeting — either in person or via video conference — to present our business plan in detail, discuss binding authority parameters, commission structures, and explore how Insurtech Solutions can serve as your strategic partner in Italy.</w:t>
      </w:r>
    </w:p>
    <w:p>
      <w:pPr>
        <w:spacing w:after="160"/>
        <w:jc w:val="both"/>
      </w:pPr>
      <w:r>
        <w:rPr>
          <w:b w:val="0"/>
          <w:sz w:val="21"/>
        </w:rPr>
        <w:t>We are available at your earliest convenience and would be happy to provide any additional documentation you may require, including our business plan, underwriting guidelines, financial projections, and compliance framework.</w:t>
      </w:r>
    </w:p>
    <w:p>
      <w:pPr>
        <w:spacing w:after="160"/>
        <w:jc w:val="both"/>
      </w:pPr>
      <w:r>
        <w:rPr>
          <w:b w:val="0"/>
          <w:sz w:val="21"/>
        </w:rPr>
        <w:t>Thank you for your consideration. We look forward to hearing from you.</w:t>
      </w:r>
    </w:p>
    <w:p/>
    <w:p>
      <w:r>
        <w:rPr>
          <w:sz w:val="21"/>
        </w:rPr>
        <w:t>Kind regards,</w:t>
      </w:r>
    </w:p>
    <w:p/>
    <w:p>
      <w:r>
        <w:rPr>
          <w:b/>
          <w:color w:val="003366"/>
          <w:sz w:val="22"/>
        </w:rPr>
        <w:t>Insurtech Solutions</w:t>
      </w:r>
    </w:p>
    <w:p>
      <w:pPr>
        <w:spacing w:after="0"/>
      </w:pPr>
      <w:r>
        <w:rPr>
          <w:i/>
          <w:sz w:val="20"/>
        </w:rPr>
        <w:t>Business Development &amp; Partnerships</w:t>
      </w:r>
    </w:p>
    <w:p>
      <w:pPr>
        <w:spacing w:after="0"/>
      </w:pPr>
      <w:r>
        <w:rPr>
          <w:color w:val="003366"/>
          <w:sz w:val="20"/>
        </w:rPr>
        <w:t>www.insurtechsolutions.it</w:t>
      </w:r>
    </w:p>
    <w:p/>
    <w:p>
      <w:pPr>
        <w:spacing w:before="240" w:after="120"/>
        <w:pBdr>
          <w:bottom w:val="single" w:sz="6" w:space="1" w:color="CC0000"/>
        </w:pBdr>
      </w:pPr>
    </w:p>
    <w:p>
      <w:r>
        <w:rPr>
          <w:b/>
          <w:color w:val="CC0000"/>
          <w:sz w:val="22"/>
        </w:rPr>
        <w:t>📋 NOTE INTERNE — NON INVIARE AL DESTINATARIO</w:t>
      </w:r>
    </w:p>
    <w:p>
      <w:pPr>
        <w:spacing w:after="80"/>
      </w:pPr>
      <w:r>
        <w:rPr>
          <w:b/>
          <w:color w:val="505050"/>
          <w:sz w:val="19"/>
        </w:rPr>
        <w:t xml:space="preserve">Destinatario: </w:t>
      </w:r>
      <w:r>
        <w:rPr>
          <w:color w:val="505050"/>
          <w:sz w:val="19"/>
        </w:rPr>
        <w:t>Liberty Mutual Surety — Top 5 mondiale nel surety. Rating A (Excellent) AM Best. Già operano con modello MGA/DUA in USA e selezionati mercati internazionali. Sede: Boston, MA. Espansione europea in corso.</w:t>
      </w:r>
    </w:p>
    <w:p>
      <w:pPr>
        <w:spacing w:after="80"/>
      </w:pPr>
      <w:r>
        <w:rPr>
          <w:b/>
          <w:color w:val="505050"/>
          <w:sz w:val="19"/>
        </w:rPr>
        <w:t xml:space="preserve">Strategia di approccio: </w:t>
      </w:r>
      <w:r>
        <w:rPr>
          <w:color w:val="505050"/>
          <w:sz w:val="19"/>
        </w:rPr>
        <w:t>Enfatizzare la nostra piattaforma tecnologica e la conoscenza del mercato italiano come fattori differenzianti. Liberty Mutual ha un modello MGA consolidato negli USA — posizionarci come il loro partner naturale per l'Italia.</w:t>
      </w:r>
    </w:p>
    <w:p>
      <w:pPr>
        <w:spacing w:after="80"/>
      </w:pPr>
      <w:r>
        <w:rPr>
          <w:b/>
          <w:color w:val="505050"/>
          <w:sz w:val="19"/>
        </w:rPr>
        <w:t xml:space="preserve">Punti chiave da preparare per il meeting: </w:t>
      </w:r>
      <w:r>
        <w:rPr>
          <w:color w:val="505050"/>
          <w:sz w:val="19"/>
        </w:rPr>
        <w:t>1) Business plan dettagliato con proiezioni a 3 anni</w:t>
        <w:br/>
        <w:t>2) Proposta di limiti di sottoscrizione (single risk / aggregato)</w:t>
        <w:br/>
        <w:t>3) Struttura commissionale proposta (indicativamente 25-30% su premi)</w:t>
        <w:br/>
        <w:t>4) Framework di underwriting guidelines</w:t>
        <w:br/>
        <w:t>5) Proposta di profit commission (es. sliding scale)</w:t>
      </w:r>
    </w:p>
    <w:p>
      <w:pPr>
        <w:spacing w:after="80"/>
      </w:pPr>
      <w:r>
        <w:rPr>
          <w:b/>
          <w:color w:val="505050"/>
          <w:sz w:val="19"/>
        </w:rPr>
        <w:t xml:space="preserve">Contatti suggeriti: </w:t>
      </w:r>
      <w:r>
        <w:rPr>
          <w:color w:val="505050"/>
          <w:sz w:val="19"/>
        </w:rPr>
        <w:t>Verificare su LinkedIn il responsabile International Surety / European Development di Liberty Mutual Surety. Cercare anche eventuali contatti presso Liberty Specialty Markets (braccio Lloyd's/europeo del gruppo).</w:t>
      </w:r>
    </w:p>
    <w:p>
      <w:pPr>
        <w:spacing w:after="80"/>
      </w:pPr>
      <w:r>
        <w:rPr>
          <w:b/>
          <w:color w:val="505050"/>
          <w:sz w:val="19"/>
        </w:rPr>
        <w:t xml:space="preserve">Tempistiche: </w:t>
      </w:r>
      <w:r>
        <w:rPr>
          <w:color w:val="505050"/>
          <w:sz w:val="19"/>
        </w:rPr>
        <w:t>Inviare entro fine settimana. Follow-up telefonico dopo 5-7 giorni lavorativi.</w:t>
      </w:r>
    </w:p>
    <w:p>
      <w:pPr>
        <w:spacing w:after="80"/>
      </w:pPr>
      <w:r>
        <w:rPr>
          <w:b/>
          <w:color w:val="505050"/>
          <w:sz w:val="19"/>
        </w:rPr>
        <w:t xml:space="preserve">Note legali: </w:t>
      </w:r>
      <w:r>
        <w:rPr>
          <w:color w:val="505050"/>
          <w:sz w:val="19"/>
        </w:rPr>
        <w:t>Prima dell'eventuale accordo DUA, verificare requisiti IVASS per l'operatività come MGA con carrier extra-UE. Potrebbe essere necessario che Liberty Mutual operi tramite una branch europea (es. Liberty Mutual Insurance Europe SE, Lussemburgo).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