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D6B"/>
          <w:sz w:val="44"/>
        </w:rPr>
        <w:t>INSURTECH SOLUTIONS</w:t>
      </w:r>
    </w:p>
    <w:p>
      <w:pPr>
        <w:jc w:val="left"/>
      </w:pPr>
      <w:r>
        <w:rPr>
          <w:i/>
          <w:color w:val="006B9F"/>
          <w:sz w:val="24"/>
        </w:rPr>
        <w:t>Managing General Agent — Surety &amp; Bonding</w:t>
      </w:r>
    </w:p>
    <w:p>
      <w:pPr>
        <w:jc w:val="left"/>
      </w:pPr>
      <w:r>
        <w:rPr>
          <w:color w:val="666666"/>
          <w:sz w:val="18"/>
        </w:rPr>
        <w:t>www.insurtechsolutions.it</w:t>
      </w:r>
    </w:p>
    <w:p>
      <w:pPr>
        <w:jc w:val="left"/>
      </w:pPr>
      <w:r>
        <w:rPr>
          <w:color w:val="003D6B"/>
          <w:sz w:val="16"/>
        </w:rPr>
        <w:t>━━━━━━━━━━━━━━━━━━━━━━━━━━━━━━━━━━━━━━━━━━━━━━━━━━━━━━━━━━━━━━━━━━━━━━━━━━━</w:t>
      </w:r>
    </w:p>
    <w:p>
      <w:pPr>
        <w:jc w:val="right"/>
      </w:pPr>
      <w:r>
        <w:rPr>
          <w:color w:val="666666"/>
          <w:sz w:val="20"/>
        </w:rPr>
        <w:t>February 27, 2026</w:t>
      </w:r>
    </w:p>
    <w:p>
      <w:pPr>
        <w:spacing w:after="0"/>
      </w:pPr>
      <w:r>
        <w:rPr>
          <w:b/>
          <w:sz w:val="22"/>
        </w:rPr>
        <w:t>Tokio Marine HCC</w:t>
      </w:r>
    </w:p>
    <w:p>
      <w:pPr>
        <w:spacing w:after="0"/>
      </w:pPr>
      <w:r>
        <w:rPr>
          <w:sz w:val="22"/>
        </w:rPr>
        <w:t>Surety &amp; Credit Group</w:t>
      </w:r>
    </w:p>
    <w:p>
      <w:pPr>
        <w:spacing w:after="0"/>
      </w:pPr>
      <w:r>
        <w:rPr>
          <w:sz w:val="22"/>
        </w:rPr>
        <w:t>International Division</w:t>
      </w:r>
    </w:p>
    <w:p/>
    <w:p>
      <w:r>
        <w:rPr>
          <w:b/>
          <w:sz w:val="22"/>
        </w:rPr>
        <w:t xml:space="preserve">Subject: </w:t>
      </w:r>
      <w:r>
        <w:rPr>
          <w:b/>
          <w:color w:val="003D6B"/>
          <w:sz w:val="22"/>
        </w:rPr>
        <w:t>MGA Partnership Proposal — Italian Surety Market | Delegated Underwriting Authority</w:t>
      </w:r>
    </w:p>
    <w:p/>
    <w:p>
      <w:r>
        <w:rPr>
          <w:sz w:val="22"/>
        </w:rPr>
        <w:t>Dear Surety &amp; Credit Team,</w:t>
      </w:r>
    </w:p>
    <w:p>
      <w:pPr>
        <w:spacing w:after="120"/>
      </w:pPr>
      <w:r>
        <w:rPr>
          <w:sz w:val="22"/>
        </w:rPr>
        <w:t>I am writing on behalf of Insurtech Solutions, an Italian Managing General Agent (MGA) specialising in surety bonds and guarantees (cauzioni/fideiussioni). We have been following Tokio Marine HCC's growth in the European surety space with great interest, and we believe there is a compelling opportunity for a strategic partnership in the Italian market.</w:t>
      </w:r>
    </w:p>
    <w:p>
      <w:r>
        <w:rPr>
          <w:b/>
          <w:color w:val="003D6B"/>
          <w:sz w:val="22"/>
        </w:rPr>
        <w:t>About Insurtech Solutions</w:t>
      </w:r>
    </w:p>
    <w:p>
      <w:pPr>
        <w:spacing w:after="120"/>
      </w:pPr>
      <w:r>
        <w:rPr>
          <w:sz w:val="22"/>
        </w:rPr>
        <w:t>Insurtech Solutions is a technology-driven MGA registered with IVASS (the Italian Insurance Supervisory Authority) and operating under the Italian Insurance Distribution Regulation (IVASS Regulation No. 40/2018). Our core business focuses on:</w:t>
      </w:r>
    </w:p>
    <w:p>
      <w:pPr>
        <w:pStyle w:val="ListBullet"/>
        <w:spacing w:after="40"/>
      </w:pPr>
      <w:r>
        <w:rPr>
          <w:b/>
          <w:sz w:val="22"/>
        </w:rPr>
        <w:t xml:space="preserve">Contract surety bonds </w:t>
      </w:r>
      <w:r>
        <w:rPr>
          <w:sz w:val="22"/>
        </w:rPr>
        <w:t>(cauzioni definitive, cauzioni provvisorie) for public procurement under the Italian Public Contracts Code (D.Lgs 36/2023)</w:t>
      </w:r>
    </w:p>
    <w:p>
      <w:pPr>
        <w:pStyle w:val="ListBullet"/>
        <w:spacing w:after="40"/>
      </w:pPr>
      <w:r>
        <w:rPr>
          <w:b/>
          <w:sz w:val="22"/>
        </w:rPr>
        <w:t xml:space="preserve">Commercial surety bonds </w:t>
      </w:r>
      <w:r>
        <w:rPr>
          <w:sz w:val="22"/>
        </w:rPr>
        <w:t>including advance payment bonds, performance guarantees, and retention money guarantees</w:t>
      </w:r>
    </w:p>
    <w:p>
      <w:pPr>
        <w:pStyle w:val="ListBullet"/>
        <w:spacing w:after="40"/>
      </w:pPr>
      <w:r>
        <w:rPr>
          <w:b/>
          <w:sz w:val="22"/>
        </w:rPr>
        <w:t xml:space="preserve">Real estate bonds </w:t>
      </w:r>
      <w:r>
        <w:rPr>
          <w:sz w:val="22"/>
        </w:rPr>
        <w:t>under D.Lgs 122/2005 for property developments and off-plan purchases</w:t>
      </w:r>
    </w:p>
    <w:p>
      <w:pPr>
        <w:pStyle w:val="ListBullet"/>
        <w:spacing w:after="40"/>
      </w:pPr>
      <w:r>
        <w:rPr>
          <w:b/>
          <w:sz w:val="22"/>
        </w:rPr>
        <w:t xml:space="preserve">Tax and customs bonds </w:t>
      </w:r>
      <w:r>
        <w:rPr>
          <w:sz w:val="22"/>
        </w:rPr>
        <w:t>for VAT deferrals, excise duties, and customs operations</w:t>
      </w:r>
    </w:p>
    <w:p/>
    <w:p>
      <w:r>
        <w:rPr>
          <w:b/>
          <w:color w:val="003D6B"/>
          <w:sz w:val="22"/>
        </w:rPr>
        <w:t>The Italian Surety Market Opportunity</w:t>
      </w:r>
    </w:p>
    <w:p>
      <w:pPr>
        <w:spacing w:after="120"/>
      </w:pPr>
      <w:r>
        <w:rPr>
          <w:sz w:val="22"/>
        </w:rPr>
        <w:t>Italy represents one of the largest surety markets in Europe, driven by mandatory bonding requirements under public procurement legislation. The new Public Contracts Code (D.Lgs 36/2023), effective since July 2023, has further strengthened the demand for surety bonds by:</w:t>
      </w:r>
    </w:p>
    <w:p>
      <w:pPr>
        <w:pStyle w:val="ListBullet"/>
        <w:spacing w:after="40"/>
      </w:pPr>
      <w:r>
        <w:rPr>
          <w:sz w:val="22"/>
        </w:rPr>
        <w:t>Requiring definitive performance bonds (cauzioni definitive) of up to 10% of contract value for all public works, services, and supplies</w:t>
      </w:r>
    </w:p>
    <w:p>
      <w:pPr>
        <w:pStyle w:val="ListBullet"/>
        <w:spacing w:after="40"/>
      </w:pPr>
      <w:r>
        <w:rPr>
          <w:sz w:val="22"/>
        </w:rPr>
        <w:t>Mandating bid bonds (cauzioni provvisorie) for tenders exceeding €500,000</w:t>
      </w:r>
    </w:p>
    <w:p>
      <w:pPr>
        <w:pStyle w:val="ListBullet"/>
        <w:spacing w:after="40"/>
      </w:pPr>
      <w:r>
        <w:rPr>
          <w:sz w:val="22"/>
        </w:rPr>
        <w:t>Introducing new ESG-linked bonding requirements for sustainable procurement</w:t>
      </w:r>
    </w:p>
    <w:p>
      <w:pPr>
        <w:pStyle w:val="ListBullet"/>
        <w:spacing w:after="40"/>
      </w:pPr>
      <w:r>
        <w:rPr>
          <w:sz w:val="22"/>
        </w:rPr>
        <w:t>Expanding the scope of mandatory guarantees to include subcontractors and consortium members</w:t>
      </w:r>
    </w:p>
    <w:p>
      <w:pPr>
        <w:spacing w:after="120"/>
      </w:pPr>
      <w:r>
        <w:rPr>
          <w:sz w:val="22"/>
        </w:rPr>
        <w:t>The Italian public procurement market is valued at over €200 billion annually, with surety premium volumes estimated at approximately €800 million. Despite this scale, the market remains concentrated among a limited number of domestic insurers, creating significant opportunities for well-capitalised international capacity providers.</w:t>
      </w:r>
    </w:p>
    <w:p>
      <w:r>
        <w:rPr>
          <w:b/>
          <w:color w:val="003D6B"/>
          <w:sz w:val="22"/>
        </w:rPr>
        <w:t>Partnership Proposal: Delegated Underwriting Authority</w:t>
      </w:r>
    </w:p>
    <w:p>
      <w:pPr>
        <w:spacing w:after="120"/>
      </w:pPr>
      <w:r>
        <w:rPr>
          <w:sz w:val="22"/>
        </w:rPr>
        <w:t>We are proposing a Delegated Underwriting Authority (DUA) arrangement under which Insurtech Solutions would act as Tokio Marine HCC's MGA partner in Italy for surety lines. The proposed structure would include:</w:t>
      </w:r>
    </w:p>
    <w:p>
      <w:pPr>
        <w:pStyle w:val="ListBullet"/>
        <w:spacing w:after="60"/>
      </w:pPr>
      <w:r>
        <w:rPr>
          <w:b/>
          <w:sz w:val="22"/>
        </w:rPr>
        <w:t xml:space="preserve">Underwriting authority: </w:t>
      </w:r>
      <w:r>
        <w:rPr>
          <w:sz w:val="22"/>
        </w:rPr>
        <w:t>Delegated binding authority for contract and commercial surety bonds within agreed parameters (single bond limits, aggregate capacity, contractor eligibility criteria)</w:t>
      </w:r>
    </w:p>
    <w:p>
      <w:pPr>
        <w:pStyle w:val="ListBullet"/>
        <w:spacing w:after="60"/>
      </w:pPr>
      <w:r>
        <w:rPr>
          <w:b/>
          <w:sz w:val="22"/>
        </w:rPr>
        <w:t xml:space="preserve">Risk assessment: </w:t>
      </w:r>
      <w:r>
        <w:rPr>
          <w:sz w:val="22"/>
        </w:rPr>
        <w:t>Full financial analysis and credit scoring of Italian contractors using proprietary models, CERVED/Bureau van Dijk data, and public procurement track records</w:t>
      </w:r>
    </w:p>
    <w:p>
      <w:pPr>
        <w:pStyle w:val="ListBullet"/>
        <w:spacing w:after="60"/>
      </w:pPr>
      <w:r>
        <w:rPr>
          <w:b/>
          <w:sz w:val="22"/>
        </w:rPr>
        <w:t xml:space="preserve">Compliance framework: </w:t>
      </w:r>
      <w:r>
        <w:rPr>
          <w:sz w:val="22"/>
        </w:rPr>
        <w:t>Full regulatory compliance with IVASS distribution requirements, AML/KYC procedures under D.Lgs 231/2007, and GDPR data protection standards</w:t>
      </w:r>
    </w:p>
    <w:p>
      <w:pPr>
        <w:pStyle w:val="ListBullet"/>
        <w:spacing w:after="60"/>
      </w:pPr>
      <w:r>
        <w:rPr>
          <w:b/>
          <w:sz w:val="22"/>
        </w:rPr>
        <w:t xml:space="preserve">Technology platform: </w:t>
      </w:r>
      <w:r>
        <w:rPr>
          <w:sz w:val="22"/>
        </w:rPr>
        <w:t>Digital underwriting and issuance platform enabling real-time bond production, automated renewals, and transparent portfolio reporting</w:t>
      </w:r>
    </w:p>
    <w:p>
      <w:pPr>
        <w:pStyle w:val="ListBullet"/>
        <w:spacing w:after="60"/>
      </w:pPr>
      <w:r>
        <w:rPr>
          <w:b/>
          <w:sz w:val="22"/>
        </w:rPr>
        <w:t xml:space="preserve">Reporting: </w:t>
      </w:r>
      <w:r>
        <w:rPr>
          <w:sz w:val="22"/>
        </w:rPr>
        <w:t>Monthly bordereaux, quarterly portfolio reviews, and real-time dashboard access for capacity providers</w:t>
      </w:r>
    </w:p>
    <w:p/>
    <w:p>
      <w:r>
        <w:rPr>
          <w:b/>
          <w:color w:val="003D6B"/>
          <w:sz w:val="22"/>
        </w:rPr>
        <w:t>Why Tokio Marine HCC</w:t>
      </w:r>
    </w:p>
    <w:p>
      <w:pPr>
        <w:spacing w:after="120"/>
      </w:pPr>
      <w:r>
        <w:rPr>
          <w:sz w:val="22"/>
        </w:rPr>
        <w:t>We consider Tokio Marine HCC the ideal capacity partner for this initiative. Your A++ (Superior) AM Best rating provides unmatched credibility with Italian public contracting authorities, who require highly-rated guarantors. Moreover, Tokio Marine HCC's proven track record in delegated authority models across European surety markets aligns perfectly with our operational approach. Your existing MGA partnerships demonstrate a deep understanding of the DUA model and the value of local market expertise combined with international capacity.</w:t>
      </w:r>
    </w:p>
    <w:p>
      <w:r>
        <w:rPr>
          <w:b/>
          <w:color w:val="003D6B"/>
          <w:sz w:val="22"/>
        </w:rPr>
        <w:t>Next Steps</w:t>
      </w:r>
    </w:p>
    <w:p>
      <w:pPr>
        <w:spacing w:after="120"/>
      </w:pPr>
      <w:r>
        <w:rPr>
          <w:sz w:val="22"/>
        </w:rPr>
        <w:t>We would welcome the opportunity to present our business plan and discuss the partnership framework in detail. We are available for an introductory call or video meeting at your earliest convenience, and would be pleased to share:</w:t>
      </w:r>
    </w:p>
    <w:p>
      <w:pPr>
        <w:pStyle w:val="ListBullet"/>
        <w:spacing w:after="40"/>
      </w:pPr>
      <w:r>
        <w:rPr>
          <w:sz w:val="22"/>
        </w:rPr>
        <w:t>Our detailed business plan and premium volume projections for the Italian surety market</w:t>
      </w:r>
    </w:p>
    <w:p>
      <w:pPr>
        <w:pStyle w:val="ListBullet"/>
        <w:spacing w:after="40"/>
      </w:pPr>
      <w:r>
        <w:rPr>
          <w:sz w:val="22"/>
        </w:rPr>
        <w:t>Our underwriting guidelines and risk appetite framework</w:t>
      </w:r>
    </w:p>
    <w:p>
      <w:pPr>
        <w:pStyle w:val="ListBullet"/>
        <w:spacing w:after="40"/>
      </w:pPr>
      <w:r>
        <w:rPr>
          <w:sz w:val="22"/>
        </w:rPr>
        <w:t>Our technology platform demo and reporting capabilities</w:t>
      </w:r>
    </w:p>
    <w:p>
      <w:pPr>
        <w:pStyle w:val="ListBullet"/>
        <w:spacing w:after="40"/>
      </w:pPr>
      <w:r>
        <w:rPr>
          <w:sz w:val="22"/>
        </w:rPr>
        <w:t>Our regulatory and compliance infrastructure documentation</w:t>
      </w:r>
    </w:p>
    <w:p>
      <w:pPr>
        <w:spacing w:after="120"/>
      </w:pPr>
      <w:r>
        <w:rPr>
          <w:sz w:val="22"/>
        </w:rPr>
        <w:t>Please do not hesitate to contact me directly to arrange a meeting. I am confident that a collaboration between Tokio Marine HCC and Insurtech Solutions would create substantial value for both parties in one of Europe's most dynamic surety markets.</w:t>
      </w:r>
    </w:p>
    <w:p/>
    <w:p>
      <w:r>
        <w:rPr>
          <w:sz w:val="22"/>
        </w:rPr>
        <w:t>Kind regards,</w:t>
      </w:r>
    </w:p>
    <w:p/>
    <w:p>
      <w:pPr>
        <w:spacing w:after="0"/>
      </w:pPr>
      <w:r>
        <w:rPr>
          <w:b/>
          <w:sz w:val="22"/>
        </w:rPr>
        <w:t>[Name Surname]</w:t>
      </w:r>
    </w:p>
    <w:p>
      <w:pPr>
        <w:spacing w:after="0"/>
      </w:pPr>
      <w:r>
        <w:rPr>
          <w:sz w:val="22"/>
        </w:rPr>
        <w:t>Head of Business Development</w:t>
      </w:r>
    </w:p>
    <w:p>
      <w:pPr>
        <w:spacing w:after="0"/>
      </w:pPr>
      <w:r>
        <w:rPr>
          <w:sz w:val="22"/>
        </w:rPr>
        <w:t>Insurtech Solutions — MGA Surety &amp; Bonding</w:t>
      </w:r>
    </w:p>
    <w:p>
      <w:pPr>
        <w:spacing w:after="0"/>
      </w:pPr>
      <w:r>
        <w:rPr>
          <w:color w:val="006B9F"/>
          <w:sz w:val="20"/>
        </w:rPr>
        <w:t>www.insurtechsolutions.it</w:t>
      </w:r>
    </w:p>
    <w:p>
      <w:pPr>
        <w:spacing w:after="0"/>
      </w:pPr>
      <w:r>
        <w:rPr>
          <w:color w:val="666666"/>
          <w:sz w:val="20"/>
        </w:rPr>
        <w:t>[email] | [phone]</w:t>
      </w:r>
    </w:p>
    <w:p>
      <w:r>
        <w:br w:type="page"/>
      </w:r>
    </w:p>
    <w:p>
      <w:pPr>
        <w:jc w:val="center"/>
      </w:pPr>
      <w:r>
        <w:rPr>
          <w:color w:val="CC0000"/>
          <w:sz w:val="16"/>
        </w:rPr>
        <w:t>━━━━━━━━━━━━━━━━━━━━━━━━━━━━━━━━━━━━━━━━━━━━━━━━━━━━━━━━━━━━</w:t>
      </w:r>
    </w:p>
    <w:p>
      <w:pPr>
        <w:jc w:val="center"/>
      </w:pPr>
      <w:r>
        <w:rPr>
          <w:b/>
          <w:color w:val="CC0000"/>
          <w:sz w:val="28"/>
        </w:rPr>
        <w:t>NOTE INTERNE — RISERVATO</w:t>
      </w:r>
    </w:p>
    <w:p>
      <w:pPr>
        <w:jc w:val="center"/>
      </w:pPr>
      <w:r>
        <w:rPr>
          <w:color w:val="CC0000"/>
          <w:sz w:val="16"/>
        </w:rPr>
        <w:t>━━━━━━━━━━━━━━━━━━━━━━━━━━━━━━━━━━━━━━━━━━━━━━━━━━━━━━━━━━━━</w:t>
      </w:r>
    </w:p>
    <w:p>
      <w:r>
        <w:rPr>
          <w:b/>
          <w:color w:val="003D6B"/>
          <w:sz w:val="24"/>
        </w:rPr>
        <w:t>1. PROFILO TARGET — TOKIO MARINE HCC</w:t>
      </w:r>
    </w:p>
    <w:p>
      <w:pPr>
        <w:pStyle w:val="ListBullet"/>
        <w:spacing w:after="60"/>
      </w:pPr>
      <w:r>
        <w:rPr>
          <w:b/>
          <w:sz w:val="20"/>
        </w:rPr>
        <w:t xml:space="preserve">Rating: </w:t>
      </w:r>
      <w:r>
        <w:rPr>
          <w:sz w:val="20"/>
        </w:rPr>
        <w:t>A++ AM Best (Superior) — il massimo rating disponibile. Fondamentale per il mercato italiano dove le stazioni appaltanti richiedono garanzie da compagnie con rating elevato.</w:t>
      </w:r>
    </w:p>
    <w:p>
      <w:pPr>
        <w:pStyle w:val="ListBullet"/>
        <w:spacing w:after="60"/>
      </w:pPr>
      <w:r>
        <w:rPr>
          <w:b/>
          <w:sz w:val="20"/>
        </w:rPr>
        <w:t xml:space="preserve">Modello DUA: </w:t>
      </w:r>
      <w:r>
        <w:rPr>
          <w:sz w:val="20"/>
        </w:rPr>
        <w:t>TMHCC ha un modello consolidato di Delegated Underwriting Authority in Europa. Operano già tramite MGA in UK, Francia, Germania e Spagna nel ramo surety.</w:t>
      </w:r>
    </w:p>
    <w:p>
      <w:pPr>
        <w:pStyle w:val="ListBullet"/>
        <w:spacing w:after="60"/>
      </w:pPr>
      <w:r>
        <w:rPr>
          <w:b/>
          <w:sz w:val="20"/>
        </w:rPr>
        <w:t xml:space="preserve">Surety &amp; Credit Group: </w:t>
      </w:r>
      <w:r>
        <w:rPr>
          <w:sz w:val="20"/>
        </w:rPr>
        <w:t>Divisione dedicata con expertise specifica nel surety europeo. Team basato principalmente a Londra e Houston.</w:t>
      </w:r>
    </w:p>
    <w:p>
      <w:pPr>
        <w:pStyle w:val="ListBullet"/>
        <w:spacing w:after="60"/>
      </w:pPr>
      <w:r>
        <w:rPr>
          <w:b/>
          <w:sz w:val="20"/>
        </w:rPr>
        <w:t xml:space="preserve">Presenza Italia: </w:t>
      </w:r>
      <w:r>
        <w:rPr>
          <w:sz w:val="20"/>
        </w:rPr>
        <w:t>Attualmente limitata nel surety italiano — questo è il nostro vantaggio competitivo. Possiamo offrire accesso immediato al mercato.</w:t>
      </w:r>
    </w:p>
    <w:p>
      <w:pPr>
        <w:pStyle w:val="ListBullet"/>
        <w:spacing w:after="60"/>
      </w:pPr>
      <w:r>
        <w:rPr>
          <w:b/>
          <w:sz w:val="20"/>
        </w:rPr>
        <w:t xml:space="preserve">Appetito di rischio: </w:t>
      </w:r>
      <w:r>
        <w:rPr>
          <w:sz w:val="20"/>
        </w:rPr>
        <w:t>Focalizzati su surety contract e commercial per PMI e mid-market. Evitano generalmente mega-projects (&gt;€50M single bond).</w:t>
      </w:r>
    </w:p>
    <w:p>
      <w:r>
        <w:rPr>
          <w:b/>
          <w:color w:val="003D6B"/>
          <w:sz w:val="24"/>
        </w:rPr>
        <w:t>2. STRATEGIA DI APPROCCIO</w:t>
      </w:r>
    </w:p>
    <w:p>
      <w:pPr>
        <w:pStyle w:val="ListBullet"/>
        <w:spacing w:after="60"/>
      </w:pPr>
      <w:r>
        <w:rPr>
          <w:b/>
          <w:sz w:val="20"/>
        </w:rPr>
        <w:t xml:space="preserve">Leva principale: </w:t>
      </w:r>
      <w:r>
        <w:rPr>
          <w:sz w:val="20"/>
        </w:rPr>
        <w:t>Il loro modello MGA/DUA già collaudato in altri mercati europei — proporre l'Italia come naturale estensione geografica.</w:t>
      </w:r>
    </w:p>
    <w:p>
      <w:pPr>
        <w:pStyle w:val="ListBullet"/>
        <w:spacing w:after="60"/>
      </w:pPr>
      <w:r>
        <w:rPr>
          <w:b/>
          <w:sz w:val="20"/>
        </w:rPr>
        <w:t xml:space="preserve">Differenziazione: </w:t>
      </w:r>
      <w:r>
        <w:rPr>
          <w:sz w:val="20"/>
        </w:rPr>
        <w:t>Enfatizzare la nostra piattaforma tecnologica e l'approccio data-driven all'underwriting. TMHCC è sensibile all'innovazione tecnologica.</w:t>
      </w:r>
    </w:p>
    <w:p>
      <w:pPr>
        <w:pStyle w:val="ListBullet"/>
        <w:spacing w:after="60"/>
      </w:pPr>
      <w:r>
        <w:rPr>
          <w:b/>
          <w:sz w:val="20"/>
        </w:rPr>
        <w:t xml:space="preserve">Timing: </w:t>
      </w:r>
      <w:r>
        <w:rPr>
          <w:sz w:val="20"/>
        </w:rPr>
        <w:t>Il nuovo Codice Appalti (D.Lgs 36/2023) ha ampliato l'obbligo di cauzioni — il mercato è in espansione.</w:t>
      </w:r>
    </w:p>
    <w:p>
      <w:pPr>
        <w:pStyle w:val="ListBullet"/>
        <w:spacing w:after="60"/>
      </w:pPr>
      <w:r>
        <w:rPr>
          <w:b/>
          <w:sz w:val="20"/>
        </w:rPr>
        <w:t xml:space="preserve">Concorrenza: </w:t>
      </w:r>
      <w:r>
        <w:rPr>
          <w:sz w:val="20"/>
        </w:rPr>
        <w:t>I principali concorrenti per capacity surety in Italia sono: Atradius, Coface, Euler Hermes (Allianz Trade). TMHCC può differenziarsi con un modello MGA puro.</w:t>
      </w:r>
    </w:p>
    <w:p>
      <w:pPr>
        <w:pStyle w:val="ListBullet"/>
        <w:spacing w:after="60"/>
      </w:pPr>
      <w:r>
        <w:rPr>
          <w:b/>
          <w:sz w:val="20"/>
        </w:rPr>
        <w:t xml:space="preserve">Canale di contatto: </w:t>
      </w:r>
      <w:r>
        <w:rPr>
          <w:sz w:val="20"/>
        </w:rPr>
        <w:t>Identificare il responsabile Surety Europe (probabilmente basato a Londra). Verificare LinkedIn per contatti diretti nella divisione Surety &amp; Credit.</w:t>
      </w:r>
    </w:p>
    <w:p>
      <w:r>
        <w:rPr>
          <w:b/>
          <w:color w:val="003D6B"/>
          <w:sz w:val="24"/>
        </w:rPr>
        <w:t>3. PUNTI DA ENFATIZZARE NEL FOLLOW-UP</w:t>
      </w:r>
    </w:p>
    <w:p>
      <w:pPr>
        <w:pStyle w:val="ListBullet"/>
        <w:spacing w:after="40"/>
      </w:pPr>
      <w:r>
        <w:rPr>
          <w:sz w:val="20"/>
        </w:rPr>
        <w:t>Presentare proiezioni di volume premi: target €5-10M GWP nel primo triennio</w:t>
      </w:r>
    </w:p>
    <w:p>
      <w:pPr>
        <w:pStyle w:val="ListBullet"/>
        <w:spacing w:after="40"/>
      </w:pPr>
      <w:r>
        <w:rPr>
          <w:sz w:val="20"/>
        </w:rPr>
        <w:t>Proporre limiti DUA iniziali conservativi (es. single bond limit €1M, aggregate €15M) per costruire fiducia</w:t>
      </w:r>
    </w:p>
    <w:p>
      <w:pPr>
        <w:pStyle w:val="ListBullet"/>
        <w:spacing w:after="40"/>
      </w:pPr>
      <w:r>
        <w:rPr>
          <w:sz w:val="20"/>
        </w:rPr>
        <w:t>Offrire un periodo pilota di 12 mesi con reporting mensile dettagliato</w:t>
      </w:r>
    </w:p>
    <w:p>
      <w:pPr>
        <w:pStyle w:val="ListBullet"/>
        <w:spacing w:after="40"/>
      </w:pPr>
      <w:r>
        <w:rPr>
          <w:sz w:val="20"/>
        </w:rPr>
        <w:t>Preparare demo della piattaforma tecnologica — TMHCC apprezza l'efficienza operativa</w:t>
      </w:r>
    </w:p>
    <w:p>
      <w:pPr>
        <w:pStyle w:val="ListBullet"/>
        <w:spacing w:after="40"/>
      </w:pPr>
      <w:r>
        <w:rPr>
          <w:sz w:val="20"/>
        </w:rPr>
        <w:t>Evidenziare il nostro framework di compliance IVASS e AML come valore aggiunto</w:t>
      </w:r>
    </w:p>
    <w:p>
      <w:pPr>
        <w:pStyle w:val="ListBullet"/>
        <w:spacing w:after="40"/>
      </w:pPr>
      <w:r>
        <w:rPr>
          <w:sz w:val="20"/>
        </w:rPr>
        <w:t>Proporre una struttura commissionale competitiva (target: 25-30% commission rate)</w:t>
      </w:r>
    </w:p>
    <w:p>
      <w:pPr>
        <w:pStyle w:val="ListBullet"/>
        <w:spacing w:after="40"/>
      </w:pPr>
      <w:r>
        <w:rPr>
          <w:sz w:val="20"/>
        </w:rPr>
        <w:t>Preparare case studies di operazioni surety italiane tipiche (appalti pubblici, fideiussioni immobiliari)</w:t>
      </w:r>
    </w:p>
    <w:p>
      <w:pPr>
        <w:pStyle w:val="ListBullet"/>
        <w:spacing w:after="40"/>
      </w:pPr>
      <w:r>
        <w:rPr>
          <w:sz w:val="20"/>
        </w:rPr>
        <w:t>Se possibile, organizzare un incontro di persona a Londra presso i loro uffici</w:t>
      </w:r>
    </w:p>
    <w:p>
      <w:r>
        <w:rPr>
          <w:b/>
          <w:color w:val="003D6B"/>
          <w:sz w:val="24"/>
        </w:rPr>
        <w:t>4. CONTATTI DA RICERCARE</w:t>
      </w:r>
    </w:p>
    <w:p>
      <w:pPr>
        <w:pStyle w:val="ListBullet"/>
        <w:spacing w:after="40"/>
      </w:pPr>
      <w:r>
        <w:rPr>
          <w:sz w:val="20"/>
        </w:rPr>
        <w:t>Head of Surety — Europe (Londra)</w:t>
      </w:r>
    </w:p>
    <w:p>
      <w:pPr>
        <w:pStyle w:val="ListBullet"/>
        <w:spacing w:after="40"/>
      </w:pPr>
      <w:r>
        <w:rPr>
          <w:sz w:val="20"/>
        </w:rPr>
        <w:t>VP Surety International / Business Development</w:t>
      </w:r>
    </w:p>
    <w:p>
      <w:pPr>
        <w:pStyle w:val="ListBullet"/>
        <w:spacing w:after="40"/>
      </w:pPr>
      <w:r>
        <w:rPr>
          <w:sz w:val="20"/>
        </w:rPr>
        <w:t>Delegated Authority Manager — Surety</w:t>
      </w:r>
    </w:p>
    <w:p>
      <w:pPr>
        <w:pStyle w:val="ListBullet"/>
        <w:spacing w:after="40"/>
      </w:pPr>
      <w:r>
        <w:rPr>
          <w:sz w:val="20"/>
        </w:rPr>
        <w:t>Verificare profili LinkedIn con keyword: "Tokio Marine HCC" + "Surety" + "Europe"</w:t>
      </w:r>
    </w:p>
    <w:p>
      <w:pPr>
        <w:pStyle w:val="ListBullet"/>
        <w:spacing w:after="40"/>
      </w:pPr>
      <w:r>
        <w:rPr>
          <w:sz w:val="20"/>
        </w:rPr>
        <w:t>Email format aziendale tipico: nome.cognome@tmhcc.com</w:t>
      </w:r>
    </w:p>
    <w:p/>
    <w:p>
      <w:pPr>
        <w:jc w:val="center"/>
      </w:pPr>
      <w:r>
        <w:rPr>
          <w:i/>
          <w:color w:val="999999"/>
          <w:sz w:val="16"/>
        </w:rPr>
        <w:t>Documento interno — Insurtech Solutions — Bozza contatto TMHCC</w:t>
      </w:r>
    </w:p>
    <w:p>
      <w:pPr>
        <w:jc w:val="center"/>
      </w:pPr>
      <w:r>
        <w:rPr>
          <w:i/>
          <w:color w:val="999999"/>
          <w:sz w:val="16"/>
        </w:rPr>
        <w:t>Generato: February 27,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