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sz w:val="36"/>
          <w:szCs w:val="36"/>
        </w:rPr>
        <w:t xml:space="preserve">Statistical Analysis Report</w:t>
      </w:r>
    </w:p>
    <w:p>
      <w:pPr>
        <w:spacing w:after="200"/>
        <w:jc w:val="center"/>
      </w:pPr>
      <w:r>
        <w:rPr>
          <w:rFonts w:ascii="Calibri" w:cs="Calibri" w:eastAsia="Calibri" w:hAnsi="Calibri"/>
          <w:sz w:val="28"/>
          <w:szCs w:val="28"/>
        </w:rPr>
        <w:t xml:space="preserve">CDC WONDER Heart Disease Mortality Disparities</w:t>
      </w:r>
    </w:p>
    <w:p>
      <w:pPr>
        <w:spacing w:after="600"/>
        <w:jc w:val="center"/>
      </w:pPr>
      <w:r>
        <w:rPr>
          <w:rFonts w:ascii="Calibri" w:cs="Calibri" w:eastAsia="Calibri" w:hAnsi="Calibri"/>
          <w:sz w:val="24"/>
          <w:szCs w:val="24"/>
        </w:rPr>
        <w:t xml:space="preserve">United States, 2020–2024</w:t>
      </w:r>
    </w:p>
    <w:p>
      <w:pPr>
        <w:spacing w:after="200"/>
        <w:jc w:val="center"/>
      </w:pPr>
      <w:r>
        <w:rPr>
          <w:rFonts w:ascii="Calibri" w:cs="Calibri" w:eastAsia="Calibri" w:hAnsi="Calibri"/>
          <w:sz w:val="22"/>
          <w:szCs w:val="22"/>
        </w:rPr>
        <w:t xml:space="preserve">Diseases of Heart (ICD-10: I00–I09, I11, I13, I20–I51)</w:t>
      </w:r>
    </w:p>
    <w:p>
      <w:pPr>
        <w:spacing w:after="1200"/>
        <w:jc w:val="center"/>
      </w:pPr>
      <w:r>
        <w:rPr>
          <w:rFonts w:ascii="Calibri" w:cs="Calibri" w:eastAsia="Calibri" w:hAnsi="Calibri"/>
          <w:sz w:val="22"/>
          <w:szCs w:val="22"/>
        </w:rPr>
        <w:t xml:space="preserve">By Race, Sex, and Census Region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vAlign w:val="center"/>
          </w:tcPr>
          <w:p>
            <w:pPr>
              <w:spacing w:after="40" w:before="40"/>
              <w:jc w:val="left"/>
            </w:pPr>
            <w:r>
              <w:rPr>
                <w:rFonts w:ascii="Calibri" w:cs="Calibri" w:eastAsia="Calibri" w:hAnsi="Calibri"/>
                <w:b/>
                <w:bCs/>
                <w:sz w:val="20"/>
                <w:szCs w:val="20"/>
              </w:rPr>
              <w:t xml:space="preserve">Author</w:t>
            </w:r>
          </w:p>
        </w:tc>
        <w:tc>
          <w:tcPr>
            <w:tcW w:type="dxa" w:w="6400"/>
            <w:vAlign w:val="center"/>
          </w:tcPr>
          <w:p>
            <w:pPr>
              <w:spacing w:after="40" w:before="40"/>
              <w:jc w:val="left"/>
            </w:pPr>
            <w:r>
              <w:rPr>
                <w:rFonts w:ascii="Calibri" w:cs="Calibri" w:eastAsia="Calibri" w:hAnsi="Calibri"/>
                <w:b w:val="false"/>
                <w:bCs w:val="false"/>
                <w:sz w:val="20"/>
                <w:szCs w:val="20"/>
              </w:rPr>
              <w:t xml:space="preserve">Aleksandr Mikhailov</w:t>
            </w:r>
          </w:p>
        </w:tc>
      </w:tr>
      <w:tr>
        <w:tc>
          <w:tcPr>
            <w:tcW w:type="dxa" w:w="3200"/>
            <w:vAlign w:val="center"/>
          </w:tcPr>
          <w:p>
            <w:pPr>
              <w:spacing w:after="40" w:before="40"/>
              <w:jc w:val="left"/>
            </w:pPr>
            <w:r>
              <w:rPr>
                <w:rFonts w:ascii="Calibri" w:cs="Calibri" w:eastAsia="Calibri" w:hAnsi="Calibri"/>
                <w:b/>
                <w:bCs/>
                <w:sz w:val="20"/>
                <w:szCs w:val="20"/>
              </w:rPr>
              <w:t xml:space="preserve">Date</w:t>
            </w:r>
          </w:p>
        </w:tc>
        <w:tc>
          <w:tcPr>
            <w:tcW w:type="dxa" w:w="6400"/>
            <w:vAlign w:val="center"/>
          </w:tcPr>
          <w:p>
            <w:pPr>
              <w:spacing w:after="40" w:before="40"/>
              <w:jc w:val="left"/>
            </w:pPr>
            <w:r>
              <w:rPr>
                <w:rFonts w:ascii="Calibri" w:cs="Calibri" w:eastAsia="Calibri" w:hAnsi="Calibri"/>
                <w:b w:val="false"/>
                <w:bCs w:val="false"/>
                <w:sz w:val="20"/>
                <w:szCs w:val="20"/>
              </w:rPr>
              <w:t xml:space="preserve">September 2026</w:t>
            </w:r>
          </w:p>
        </w:tc>
      </w:tr>
      <w:tr>
        <w:tc>
          <w:tcPr>
            <w:tcW w:type="dxa" w:w="3200"/>
            <w:vAlign w:val="center"/>
          </w:tcPr>
          <w:p>
            <w:pPr>
              <w:spacing w:after="40" w:before="40"/>
              <w:jc w:val="left"/>
            </w:pPr>
            <w:r>
              <w:rPr>
                <w:rFonts w:ascii="Calibri" w:cs="Calibri" w:eastAsia="Calibri" w:hAnsi="Calibri"/>
                <w:b/>
                <w:bCs/>
                <w:sz w:val="20"/>
                <w:szCs w:val="20"/>
              </w:rPr>
              <w:t xml:space="preserve">Version</w:t>
            </w:r>
          </w:p>
        </w:tc>
        <w:tc>
          <w:tcPr>
            <w:tcW w:type="dxa" w:w="6400"/>
            <w:vAlign w:val="center"/>
          </w:tcPr>
          <w:p>
            <w:pPr>
              <w:spacing w:after="40" w:before="40"/>
              <w:jc w:val="left"/>
            </w:pPr>
            <w:r>
              <w:rPr>
                <w:rFonts w:ascii="Calibri" w:cs="Calibri" w:eastAsia="Calibri" w:hAnsi="Calibri"/>
                <w:b w:val="false"/>
                <w:bCs w:val="false"/>
                <w:sz w:val="20"/>
                <w:szCs w:val="20"/>
              </w:rPr>
              <w:t xml:space="preserve">1.0</w:t>
            </w:r>
          </w:p>
        </w:tc>
      </w:tr>
      <w:tr>
        <w:tc>
          <w:tcPr>
            <w:tcW w:type="dxa" w:w="3200"/>
            <w:vAlign w:val="center"/>
          </w:tcPr>
          <w:p>
            <w:pPr>
              <w:spacing w:after="40" w:before="40"/>
              <w:jc w:val="left"/>
            </w:pPr>
            <w:r>
              <w:rPr>
                <w:rFonts w:ascii="Calibri" w:cs="Calibri" w:eastAsia="Calibri" w:hAnsi="Calibri"/>
                <w:b/>
                <w:bCs/>
                <w:sz w:val="20"/>
                <w:szCs w:val="20"/>
              </w:rPr>
              <w:t xml:space="preserve">Status</w:t>
            </w:r>
          </w:p>
        </w:tc>
        <w:tc>
          <w:tcPr>
            <w:tcW w:type="dxa" w:w="6400"/>
            <w:vAlign w:val="center"/>
          </w:tcPr>
          <w:p>
            <w:pPr>
              <w:spacing w:after="40" w:before="40"/>
              <w:jc w:val="left"/>
            </w:pPr>
            <w:r>
              <w:rPr>
                <w:rFonts w:ascii="Calibri" w:cs="Calibri" w:eastAsia="Calibri" w:hAnsi="Calibri"/>
                <w:b w:val="false"/>
                <w:bCs w:val="false"/>
                <w:sz w:val="20"/>
                <w:szCs w:val="20"/>
              </w:rPr>
              <w:t xml:space="preserve">Final</w:t>
            </w:r>
          </w:p>
        </w:tc>
      </w:tr>
      <w:tr>
        <w:tc>
          <w:tcPr>
            <w:tcW w:type="dxa" w:w="3200"/>
            <w:vAlign w:val="center"/>
          </w:tcPr>
          <w:p>
            <w:pPr>
              <w:spacing w:after="40" w:before="40"/>
              <w:jc w:val="left"/>
            </w:pPr>
            <w:r>
              <w:rPr>
                <w:rFonts w:ascii="Calibri" w:cs="Calibri" w:eastAsia="Calibri" w:hAnsi="Calibri"/>
                <w:b/>
                <w:bCs/>
                <w:sz w:val="20"/>
                <w:szCs w:val="20"/>
              </w:rPr>
              <w:t xml:space="preserve">Software</w:t>
            </w:r>
          </w:p>
        </w:tc>
        <w:tc>
          <w:tcPr>
            <w:tcW w:type="dxa" w:w="6400"/>
            <w:vAlign w:val="center"/>
          </w:tcPr>
          <w:p>
            <w:pPr>
              <w:spacing w:after="40" w:before="40"/>
              <w:jc w:val="left"/>
            </w:pPr>
            <w:r>
              <w:rPr>
                <w:rFonts w:ascii="Calibri" w:cs="Calibri" w:eastAsia="Calibri" w:hAnsi="Calibri"/>
                <w:b w:val="false"/>
                <w:bCs w:val="false"/>
                <w:sz w:val="20"/>
                <w:szCs w:val="20"/>
              </w:rPr>
              <w:t xml:space="preserve">SAS Studio (SAS OnDemand for Academics)</w:t>
            </w:r>
          </w:p>
        </w:tc>
      </w:tr>
      <w:tr>
        <w:tc>
          <w:tcPr>
            <w:tcW w:type="dxa" w:w="3200"/>
            <w:vAlign w:val="center"/>
          </w:tcPr>
          <w:p>
            <w:pPr>
              <w:spacing w:after="40" w:before="40"/>
              <w:jc w:val="left"/>
            </w:pPr>
            <w:r>
              <w:rPr>
                <w:rFonts w:ascii="Calibri" w:cs="Calibri" w:eastAsia="Calibri" w:hAnsi="Calibri"/>
                <w:b/>
                <w:bCs/>
                <w:sz w:val="20"/>
                <w:szCs w:val="20"/>
              </w:rPr>
              <w:t xml:space="preserve">Repository</w:t>
            </w:r>
          </w:p>
        </w:tc>
        <w:tc>
          <w:tcPr>
            <w:tcW w:type="dxa" w:w="6400"/>
            <w:vAlign w:val="center"/>
          </w:tcPr>
          <w:p>
            <w:pPr>
              <w:spacing w:after="40" w:before="40"/>
              <w:jc w:val="left"/>
            </w:pPr>
            <w:r>
              <w:rPr>
                <w:rFonts w:ascii="Calibri" w:cs="Calibri" w:eastAsia="Calibri" w:hAnsi="Calibri"/>
                <w:b w:val="false"/>
                <w:bCs w:val="false"/>
                <w:sz w:val="20"/>
                <w:szCs w:val="20"/>
              </w:rPr>
              <w:t xml:space="preserve">github.com/alemikhailov/cdc-wonder-mortality</w:t>
            </w:r>
          </w:p>
        </w:tc>
      </w:tr>
    </w:tbl>
    <w:p>
      <w:r>
        <w:br w:type="page"/>
      </w:r>
    </w:p>
    <w:p>
      <w:pPr>
        <w:pStyle w:val="Heading1"/>
        <w:spacing w:after="120" w:before="240"/>
      </w:pPr>
      <w:r>
        <w:t xml:space="preserve">1. Purpose</w:t>
      </w:r>
    </w:p>
    <w:p>
      <w:pPr>
        <w:spacing w:after="120"/>
      </w:pPr>
      <w:r>
        <w:rPr>
          <w:rFonts w:ascii="Calibri" w:cs="Calibri" w:eastAsia="Calibri" w:hAnsi="Calibri"/>
          <w:sz w:val="22"/>
          <w:szCs w:val="22"/>
        </w:rPr>
        <w:t xml:space="preserve">This report documents the statistical analysis of heart disease mortality disparities in the United States from 2020 to 2024. The analysis uses data from the CDC WONDER Underlying Cause of Death database to examine differences in heart disease mortality rates across racial/ethnic groups, sex, and US Census regions.</w:t>
      </w:r>
    </w:p>
    <w:p>
      <w:pPr>
        <w:spacing w:after="200"/>
      </w:pPr>
      <w:r>
        <w:rPr>
          <w:rFonts w:ascii="Calibri" w:cs="Calibri" w:eastAsia="Calibri" w:hAnsi="Calibri"/>
          <w:sz w:val="22"/>
          <w:szCs w:val="22"/>
        </w:rPr>
        <w:t xml:space="preserve">The objectives of this analysis are to: (1) describe the distribution of heart disease mortality by demographic and geographic characteristics; (2) identify statistically significant disparities in mortality rates between racial/ethnic groups, adjusted for sex, region, and calendar year; and (3) document data sources, validation steps, statistical methods, results, limitations, and public health interpretation in a reproducible, auditable format.</w:t>
      </w:r>
    </w:p>
    <w:p>
      <w:pPr>
        <w:pStyle w:val="Heading1"/>
        <w:spacing w:after="120" w:before="240"/>
      </w:pPr>
      <w:r>
        <w:t xml:space="preserve">2. Data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9E2F3" w:color="auto" w:val="clear"/>
            <w:vAlign w:val="center"/>
          </w:tcPr>
          <w:p>
            <w:pPr>
              <w:spacing w:after="40" w:before="40"/>
              <w:jc w:val="left"/>
            </w:pPr>
            <w:r>
              <w:rPr>
                <w:rFonts w:ascii="Calibri" w:cs="Calibri" w:eastAsia="Calibri" w:hAnsi="Calibri"/>
                <w:b/>
                <w:bCs/>
                <w:sz w:val="20"/>
                <w:szCs w:val="20"/>
              </w:rPr>
              <w:t xml:space="preserve">Item</w:t>
            </w:r>
          </w:p>
        </w:tc>
        <w:tc>
          <w:tcPr>
            <w:tcW w:type="dxa" w:w="6400"/>
            <w:shd w:fill="D9E2F3" w:color="auto" w:val="clear"/>
            <w:vAlign w:val="center"/>
          </w:tcPr>
          <w:p>
            <w:pPr>
              <w:spacing w:after="40" w:before="40"/>
              <w:jc w:val="left"/>
            </w:pPr>
            <w:r>
              <w:rPr>
                <w:rFonts w:ascii="Calibri" w:cs="Calibri" w:eastAsia="Calibri" w:hAnsi="Calibri"/>
                <w:b w:val="false"/>
                <w:bCs w:val="false"/>
                <w:sz w:val="20"/>
                <w:szCs w:val="20"/>
              </w:rPr>
              <w:t xml:space="preserve">Value</w:t>
            </w:r>
          </w:p>
        </w:tc>
      </w:tr>
      <w:tr>
        <w:tc>
          <w:tcPr>
            <w:tcW w:type="dxa" w:w="3200"/>
            <w:vAlign w:val="center"/>
          </w:tcPr>
          <w:p>
            <w:pPr>
              <w:spacing w:after="40" w:before="40"/>
              <w:jc w:val="left"/>
            </w:pPr>
            <w:r>
              <w:rPr>
                <w:rFonts w:ascii="Calibri" w:cs="Calibri" w:eastAsia="Calibri" w:hAnsi="Calibri"/>
                <w:b/>
                <w:bCs/>
                <w:sz w:val="20"/>
                <w:szCs w:val="20"/>
              </w:rPr>
              <w:t xml:space="preserve">Database</w:t>
            </w:r>
          </w:p>
        </w:tc>
        <w:tc>
          <w:tcPr>
            <w:tcW w:type="dxa" w:w="6400"/>
            <w:vAlign w:val="center"/>
          </w:tcPr>
          <w:p>
            <w:pPr>
              <w:spacing w:after="40" w:before="40"/>
              <w:jc w:val="left"/>
            </w:pPr>
            <w:r>
              <w:rPr>
                <w:rFonts w:ascii="Calibri" w:cs="Calibri" w:eastAsia="Calibri" w:hAnsi="Calibri"/>
                <w:b w:val="false"/>
                <w:bCs w:val="false"/>
                <w:sz w:val="20"/>
                <w:szCs w:val="20"/>
              </w:rPr>
              <w:t xml:space="preserve">CDC WONDER Underlying Cause of Death, 2018–2024, Single Race</w:t>
            </w:r>
          </w:p>
        </w:tc>
      </w:tr>
      <w:tr>
        <w:tc>
          <w:tcPr>
            <w:tcW w:type="dxa" w:w="3200"/>
            <w:vAlign w:val="center"/>
          </w:tcPr>
          <w:p>
            <w:pPr>
              <w:spacing w:after="40" w:before="40"/>
              <w:jc w:val="left"/>
            </w:pPr>
            <w:r>
              <w:rPr>
                <w:rFonts w:ascii="Calibri" w:cs="Calibri" w:eastAsia="Calibri" w:hAnsi="Calibri"/>
                <w:b/>
                <w:bCs/>
                <w:sz w:val="20"/>
                <w:szCs w:val="20"/>
              </w:rPr>
              <w:t xml:space="preserve">URL</w:t>
            </w:r>
          </w:p>
        </w:tc>
        <w:tc>
          <w:tcPr>
            <w:tcW w:type="dxa" w:w="6400"/>
            <w:vAlign w:val="center"/>
          </w:tcPr>
          <w:p>
            <w:pPr>
              <w:spacing w:after="40" w:before="40"/>
              <w:jc w:val="left"/>
            </w:pPr>
            <w:r>
              <w:rPr>
                <w:rFonts w:ascii="Calibri" w:cs="Calibri" w:eastAsia="Calibri" w:hAnsi="Calibri"/>
                <w:b w:val="false"/>
                <w:bCs w:val="false"/>
                <w:sz w:val="20"/>
                <w:szCs w:val="20"/>
              </w:rPr>
              <w:t xml:space="preserve">https://wonder.cdc.gov/ucd-icd10-expanded.html</w:t>
            </w:r>
          </w:p>
        </w:tc>
      </w:tr>
      <w:tr>
        <w:tc>
          <w:tcPr>
            <w:tcW w:type="dxa" w:w="3200"/>
            <w:vAlign w:val="center"/>
          </w:tcPr>
          <w:p>
            <w:pPr>
              <w:spacing w:after="40" w:before="40"/>
              <w:jc w:val="left"/>
            </w:pPr>
            <w:r>
              <w:rPr>
                <w:rFonts w:ascii="Calibri" w:cs="Calibri" w:eastAsia="Calibri" w:hAnsi="Calibri"/>
                <w:b/>
                <w:bCs/>
                <w:sz w:val="20"/>
                <w:szCs w:val="20"/>
              </w:rPr>
              <w:t xml:space="preserve">ICD-10 Codes</w:t>
            </w:r>
          </w:p>
        </w:tc>
        <w:tc>
          <w:tcPr>
            <w:tcW w:type="dxa" w:w="6400"/>
            <w:vAlign w:val="center"/>
          </w:tcPr>
          <w:p>
            <w:pPr>
              <w:spacing w:after="40" w:before="40"/>
              <w:jc w:val="left"/>
            </w:pPr>
            <w:r>
              <w:rPr>
                <w:rFonts w:ascii="Calibri" w:cs="Calibri" w:eastAsia="Calibri" w:hAnsi="Calibri"/>
                <w:b w:val="false"/>
                <w:bCs w:val="false"/>
                <w:sz w:val="20"/>
                <w:szCs w:val="20"/>
              </w:rPr>
              <w:t xml:space="preserve">I00–I09, I11, I13, I20–I25, I26–I28, I30–I52 (Diseases of Heart)</w:t>
            </w:r>
          </w:p>
        </w:tc>
      </w:tr>
      <w:tr>
        <w:tc>
          <w:tcPr>
            <w:tcW w:type="dxa" w:w="3200"/>
            <w:vAlign w:val="center"/>
          </w:tcPr>
          <w:p>
            <w:pPr>
              <w:spacing w:after="40" w:before="40"/>
              <w:jc w:val="left"/>
            </w:pPr>
            <w:r>
              <w:rPr>
                <w:rFonts w:ascii="Calibri" w:cs="Calibri" w:eastAsia="Calibri" w:hAnsi="Calibri"/>
                <w:b/>
                <w:bCs/>
                <w:sz w:val="20"/>
                <w:szCs w:val="20"/>
              </w:rPr>
              <w:t xml:space="preserve">Years</w:t>
            </w:r>
          </w:p>
        </w:tc>
        <w:tc>
          <w:tcPr>
            <w:tcW w:type="dxa" w:w="6400"/>
            <w:vAlign w:val="center"/>
          </w:tcPr>
          <w:p>
            <w:pPr>
              <w:spacing w:after="40" w:before="40"/>
              <w:jc w:val="left"/>
            </w:pPr>
            <w:r>
              <w:rPr>
                <w:rFonts w:ascii="Calibri" w:cs="Calibri" w:eastAsia="Calibri" w:hAnsi="Calibri"/>
                <w:b w:val="false"/>
                <w:bCs w:val="false"/>
                <w:sz w:val="20"/>
                <w:szCs w:val="20"/>
              </w:rPr>
              <w:t xml:space="preserve">2020–2024</w:t>
            </w:r>
          </w:p>
        </w:tc>
      </w:tr>
      <w:tr>
        <w:tc>
          <w:tcPr>
            <w:tcW w:type="dxa" w:w="3200"/>
            <w:vAlign w:val="center"/>
          </w:tcPr>
          <w:p>
            <w:pPr>
              <w:spacing w:after="40" w:before="40"/>
              <w:jc w:val="left"/>
            </w:pPr>
            <w:r>
              <w:rPr>
                <w:rFonts w:ascii="Calibri" w:cs="Calibri" w:eastAsia="Calibri" w:hAnsi="Calibri"/>
                <w:b/>
                <w:bCs/>
                <w:sz w:val="20"/>
                <w:szCs w:val="20"/>
              </w:rPr>
              <w:t xml:space="preserve">Group By</w:t>
            </w:r>
          </w:p>
        </w:tc>
        <w:tc>
          <w:tcPr>
            <w:tcW w:type="dxa" w:w="6400"/>
            <w:vAlign w:val="center"/>
          </w:tcPr>
          <w:p>
            <w:pPr>
              <w:spacing w:after="40" w:before="40"/>
              <w:jc w:val="left"/>
            </w:pPr>
            <w:r>
              <w:rPr>
                <w:rFonts w:ascii="Calibri" w:cs="Calibri" w:eastAsia="Calibri" w:hAnsi="Calibri"/>
                <w:b w:val="false"/>
                <w:bCs w:val="false"/>
                <w:sz w:val="20"/>
                <w:szCs w:val="20"/>
              </w:rPr>
              <w:t xml:space="preserve">Census Region, Single Race 6, Sex, Year</w:t>
            </w:r>
          </w:p>
        </w:tc>
      </w:tr>
      <w:tr>
        <w:tc>
          <w:tcPr>
            <w:tcW w:type="dxa" w:w="3200"/>
            <w:vAlign w:val="center"/>
          </w:tcPr>
          <w:p>
            <w:pPr>
              <w:spacing w:after="40" w:before="40"/>
              <w:jc w:val="left"/>
            </w:pPr>
            <w:r>
              <w:rPr>
                <w:rFonts w:ascii="Calibri" w:cs="Calibri" w:eastAsia="Calibri" w:hAnsi="Calibri"/>
                <w:b/>
                <w:bCs/>
                <w:sz w:val="20"/>
                <w:szCs w:val="20"/>
              </w:rPr>
              <w:t xml:space="preserve">Export Format</w:t>
            </w:r>
          </w:p>
        </w:tc>
        <w:tc>
          <w:tcPr>
            <w:tcW w:type="dxa" w:w="6400"/>
            <w:vAlign w:val="center"/>
          </w:tcPr>
          <w:p>
            <w:pPr>
              <w:spacing w:after="40" w:before="40"/>
              <w:jc w:val="left"/>
            </w:pPr>
            <w:r>
              <w:rPr>
                <w:rFonts w:ascii="Calibri" w:cs="Calibri" w:eastAsia="Calibri" w:hAnsi="Calibri"/>
                <w:b w:val="false"/>
                <w:bCs w:val="false"/>
                <w:sz w:val="20"/>
                <w:szCs w:val="20"/>
              </w:rPr>
              <w:t xml:space="preserve">Tab-separated values (.tsv)</w:t>
            </w:r>
          </w:p>
        </w:tc>
      </w:tr>
      <w:tr>
        <w:tc>
          <w:tcPr>
            <w:tcW w:type="dxa" w:w="3200"/>
            <w:vAlign w:val="center"/>
          </w:tcPr>
          <w:p>
            <w:pPr>
              <w:spacing w:after="40" w:before="40"/>
              <w:jc w:val="left"/>
            </w:pPr>
            <w:r>
              <w:rPr>
                <w:rFonts w:ascii="Calibri" w:cs="Calibri" w:eastAsia="Calibri" w:hAnsi="Calibri"/>
                <w:b/>
                <w:bCs/>
                <w:sz w:val="20"/>
                <w:szCs w:val="20"/>
              </w:rPr>
              <w:t xml:space="preserve">Access Date</w:t>
            </w:r>
          </w:p>
        </w:tc>
        <w:tc>
          <w:tcPr>
            <w:tcW w:type="dxa" w:w="6400"/>
            <w:vAlign w:val="center"/>
          </w:tcPr>
          <w:p>
            <w:pPr>
              <w:spacing w:after="40" w:before="40"/>
              <w:jc w:val="left"/>
            </w:pPr>
            <w:r>
              <w:rPr>
                <w:rFonts w:ascii="Calibri" w:cs="Calibri" w:eastAsia="Calibri" w:hAnsi="Calibri"/>
                <w:b w:val="false"/>
                <w:bCs w:val="false"/>
                <w:sz w:val="20"/>
                <w:szCs w:val="20"/>
              </w:rPr>
              <w:t xml:space="preserve">September 2026</w:t>
            </w:r>
          </w:p>
        </w:tc>
      </w:tr>
    </w:tbl>
    <w:p>
      <w:pPr>
        <w:spacing w:after="120"/>
      </w:pPr>
    </w:p>
    <w:p>
      <w:pPr>
        <w:spacing w:after="200"/>
      </w:pPr>
      <w:r>
        <w:rPr>
          <w:rFonts w:ascii="Calibri" w:cs="Calibri" w:eastAsia="Calibri" w:hAnsi="Calibri"/>
          <w:sz w:val="22"/>
          <w:szCs w:val="22"/>
        </w:rPr>
        <w:t xml:space="preserve">The dataset contains aggregate counts of deaths, population denominators, and crude mortality rates per 100,000 population for each combination of Census region, race/ethnicity, sex, and calendar year. CDC WONDER suppresses cells with fewer than 10 deaths to protect individual privacy. The six racial/ethnic categories available in this dataset are: American Indian or Alaska Native, Asian, Black or African American, More than one race, Native Hawaiian or Other Pacific Islander, and White.</w:t>
      </w:r>
    </w:p>
    <w:p>
      <w:pPr>
        <w:pStyle w:val="Heading1"/>
        <w:spacing w:after="120" w:before="240"/>
      </w:pPr>
      <w:r>
        <w:t xml:space="preserve">3. Data Processing</w:t>
      </w:r>
    </w:p>
    <w:p>
      <w:pPr>
        <w:pStyle w:val="Heading2"/>
        <w:spacing w:after="80" w:before="160"/>
      </w:pPr>
      <w:r>
        <w:t xml:space="preserve">3.1 Import (01_import.sas)</w:t>
      </w:r>
    </w:p>
    <w:p>
      <w:pPr>
        <w:spacing w:after="120"/>
      </w:pPr>
      <w:r>
        <w:rPr>
          <w:rFonts w:ascii="Calibri" w:cs="Calibri" w:eastAsia="Calibri" w:hAnsi="Calibri"/>
          <w:sz w:val="22"/>
          <w:szCs w:val="22"/>
        </w:rPr>
        <w:t xml:space="preserve">The raw CDC WONDER export was imported into SAS using a DATA step with tab delimiter specification (hex 09), DSD option for quoted text fields, and MISSOVER to handle varying record lengths. All numeric fields were read as character and converted to numeric using the INPUT function with the ?? modifier to suppress conversion notes for missing values in subtotal rows.</w:t>
      </w:r>
    </w:p>
    <w:p>
      <w:pPr>
        <w:spacing w:after="200"/>
      </w:pPr>
      <w:r>
        <w:rPr>
          <w:rFonts w:ascii="Calibri" w:cs="Calibri" w:eastAsia="Calibri" w:hAnsi="Calibri"/>
          <w:sz w:val="22"/>
          <w:szCs w:val="22"/>
        </w:rPr>
        <w:t xml:space="preserve">Subtotal and total rows inserted by CDC WONDER (identified by the Notes field containing "Total" or missing Year values) were excluded. A log-population offset variable was derived for Poisson regression modeling. All variables were assigned descriptive labels and appropriate formats. The raw import contained 390 records; after exclusions, the analysis dataset contained 238 records.</w:t>
      </w:r>
    </w:p>
    <w:p>
      <w:pPr>
        <w:pStyle w:val="Heading2"/>
        <w:spacing w:after="80" w:before="160"/>
      </w:pPr>
      <w:r>
        <w:t xml:space="preserve">3.2 Validation (02_validate.sas)</w:t>
      </w:r>
    </w:p>
    <w:p>
      <w:pPr>
        <w:spacing w:after="120"/>
      </w:pPr>
      <w:r>
        <w:rPr>
          <w:rFonts w:ascii="Calibri" w:cs="Calibri" w:eastAsia="Calibri" w:hAnsi="Calibri"/>
          <w:sz w:val="22"/>
          <w:szCs w:val="22"/>
        </w:rPr>
        <w:t xml:space="preserve">Six validation checks were performed on the cleaned dataset before analysis: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c>
          <w:tcPr>
            <w:tcW w:type="dxa" w:w="3000"/>
            <w:shd w:fill="D9E2F3" w:color="auto" w:val="clear"/>
            <w:vAlign w:val="center"/>
          </w:tcPr>
          <w:p>
            <w:pPr>
              <w:spacing w:after="40" w:before="40"/>
              <w:jc w:val="left"/>
            </w:pPr>
            <w:r>
              <w:rPr>
                <w:rFonts w:ascii="Calibri" w:cs="Calibri" w:eastAsia="Calibri" w:hAnsi="Calibri"/>
                <w:b/>
                <w:bCs/>
                <w:sz w:val="20"/>
                <w:szCs w:val="20"/>
              </w:rPr>
              <w:t xml:space="preserve">Check</w:t>
            </w:r>
          </w:p>
        </w:tc>
        <w:tc>
          <w:tcPr>
            <w:tcW w:type="dxa" w:w="1200"/>
            <w:shd w:fill="D9E2F3" w:color="auto" w:val="clear"/>
            <w:vAlign w:val="center"/>
          </w:tcPr>
          <w:p>
            <w:pPr>
              <w:spacing w:after="40" w:before="40"/>
              <w:jc w:val="left"/>
            </w:pPr>
            <w:r>
              <w:rPr>
                <w:rFonts w:ascii="Calibri" w:cs="Calibri" w:eastAsia="Calibri" w:hAnsi="Calibri"/>
                <w:b/>
                <w:bCs/>
                <w:sz w:val="20"/>
                <w:szCs w:val="20"/>
              </w:rPr>
              <w:t xml:space="preserve">Result</w:t>
            </w:r>
          </w:p>
        </w:tc>
        <w:tc>
          <w:tcPr>
            <w:tcW w:type="dxa" w:w="5400"/>
            <w:shd w:fill="D9E2F3" w:color="auto" w:val="clear"/>
            <w:vAlign w:val="center"/>
          </w:tcPr>
          <w:p>
            <w:pPr>
              <w:spacing w:after="40" w:before="40"/>
              <w:jc w:val="left"/>
            </w:pPr>
            <w:r>
              <w:rPr>
                <w:rFonts w:ascii="Calibri" w:cs="Calibri" w:eastAsia="Calibri" w:hAnsi="Calibri"/>
                <w:b w:val="false"/>
                <w:bCs w:val="false"/>
                <w:sz w:val="20"/>
                <w:szCs w:val="20"/>
              </w:rPr>
              <w:t xml:space="preserve">Detail</w:t>
            </w:r>
          </w:p>
        </w:tc>
      </w:tr>
      <w:tr>
        <w:tc>
          <w:tcPr>
            <w:tcW w:type="dxa" w:w="3000"/>
            <w:vAlign w:val="center"/>
          </w:tcPr>
          <w:p>
            <w:pPr>
              <w:spacing w:after="40" w:before="40"/>
              <w:jc w:val="left"/>
            </w:pPr>
            <w:r>
              <w:rPr>
                <w:rFonts w:ascii="Calibri" w:cs="Calibri" w:eastAsia="Calibri" w:hAnsi="Calibri"/>
                <w:b w:val="false"/>
                <w:bCs w:val="false"/>
                <w:sz w:val="20"/>
                <w:szCs w:val="20"/>
              </w:rPr>
              <w:t xml:space="preserve">Record count</w:t>
            </w:r>
          </w:p>
        </w:tc>
        <w:tc>
          <w:tcPr>
            <w:tcW w:type="dxa" w:w="1200"/>
            <w:shd w:fill="E2EFDA" w:color="auto" w:val="clear"/>
            <w:vAlign w:val="center"/>
          </w:tcPr>
          <w:p>
            <w:pPr>
              <w:spacing w:after="40" w:before="40"/>
              <w:jc w:val="left"/>
            </w:pPr>
            <w:r>
              <w:rPr>
                <w:rFonts w:ascii="Calibri" w:cs="Calibri" w:eastAsia="Calibri" w:hAnsi="Calibri"/>
                <w:b/>
                <w:bCs/>
                <w:sz w:val="20"/>
                <w:szCs w:val="20"/>
              </w:rPr>
              <w:t xml:space="preserve">PASS</w:t>
            </w:r>
          </w:p>
        </w:tc>
        <w:tc>
          <w:tcPr>
            <w:tcW w:type="dxa" w:w="5400"/>
            <w:vAlign w:val="center"/>
          </w:tcPr>
          <w:p>
            <w:pPr>
              <w:spacing w:after="40" w:before="40"/>
              <w:jc w:val="left"/>
            </w:pPr>
            <w:r>
              <w:rPr>
                <w:rFonts w:ascii="Calibri" w:cs="Calibri" w:eastAsia="Calibri" w:hAnsi="Calibri"/>
                <w:b w:val="false"/>
                <w:bCs w:val="false"/>
                <w:sz w:val="20"/>
                <w:szCs w:val="20"/>
              </w:rPr>
              <w:t xml:space="preserve">238 of 240 expected records present (6 races × 2 sexes × 4 regions × 5 years = 240)</w:t>
            </w:r>
          </w:p>
        </w:tc>
      </w:tr>
      <w:tr>
        <w:tc>
          <w:tcPr>
            <w:tcW w:type="dxa" w:w="3000"/>
            <w:vAlign w:val="center"/>
          </w:tcPr>
          <w:p>
            <w:pPr>
              <w:spacing w:after="40" w:before="40"/>
              <w:jc w:val="left"/>
            </w:pPr>
            <w:r>
              <w:rPr>
                <w:rFonts w:ascii="Calibri" w:cs="Calibri" w:eastAsia="Calibri" w:hAnsi="Calibri"/>
                <w:b w:val="false"/>
                <w:bCs w:val="false"/>
                <w:sz w:val="20"/>
                <w:szCs w:val="20"/>
              </w:rPr>
              <w:t xml:space="preserve">Duplicate records</w:t>
            </w:r>
          </w:p>
        </w:tc>
        <w:tc>
          <w:tcPr>
            <w:tcW w:type="dxa" w:w="1200"/>
            <w:shd w:fill="E2EFDA" w:color="auto" w:val="clear"/>
            <w:vAlign w:val="center"/>
          </w:tcPr>
          <w:p>
            <w:pPr>
              <w:spacing w:after="40" w:before="40"/>
              <w:jc w:val="left"/>
            </w:pPr>
            <w:r>
              <w:rPr>
                <w:rFonts w:ascii="Calibri" w:cs="Calibri" w:eastAsia="Calibri" w:hAnsi="Calibri"/>
                <w:b/>
                <w:bCs/>
                <w:sz w:val="20"/>
                <w:szCs w:val="20"/>
              </w:rPr>
              <w:t xml:space="preserve">PASS</w:t>
            </w:r>
          </w:p>
        </w:tc>
        <w:tc>
          <w:tcPr>
            <w:tcW w:type="dxa" w:w="5400"/>
            <w:vAlign w:val="center"/>
          </w:tcPr>
          <w:p>
            <w:pPr>
              <w:spacing w:after="40" w:before="40"/>
              <w:jc w:val="left"/>
            </w:pPr>
            <w:r>
              <w:rPr>
                <w:rFonts w:ascii="Calibri" w:cs="Calibri" w:eastAsia="Calibri" w:hAnsi="Calibri"/>
                <w:b w:val="false"/>
                <w:bCs w:val="false"/>
                <w:sz w:val="20"/>
                <w:szCs w:val="20"/>
              </w:rPr>
              <w:t xml:space="preserve">No duplicate Region × Race × Sex × Year combinations found</w:t>
            </w:r>
          </w:p>
        </w:tc>
      </w:tr>
      <w:tr>
        <w:tc>
          <w:tcPr>
            <w:tcW w:type="dxa" w:w="3000"/>
            <w:vAlign w:val="center"/>
          </w:tcPr>
          <w:p>
            <w:pPr>
              <w:spacing w:after="40" w:before="40"/>
              <w:jc w:val="left"/>
            </w:pPr>
            <w:r>
              <w:rPr>
                <w:rFonts w:ascii="Calibri" w:cs="Calibri" w:eastAsia="Calibri" w:hAnsi="Calibri"/>
                <w:b w:val="false"/>
                <w:bCs w:val="false"/>
                <w:sz w:val="20"/>
                <w:szCs w:val="20"/>
              </w:rPr>
              <w:t xml:space="preserve">Missing values</w:t>
            </w:r>
          </w:p>
        </w:tc>
        <w:tc>
          <w:tcPr>
            <w:tcW w:type="dxa" w:w="1200"/>
            <w:shd w:fill="E2EFDA" w:color="auto" w:val="clear"/>
            <w:vAlign w:val="center"/>
          </w:tcPr>
          <w:p>
            <w:pPr>
              <w:spacing w:after="40" w:before="40"/>
              <w:jc w:val="left"/>
            </w:pPr>
            <w:r>
              <w:rPr>
                <w:rFonts w:ascii="Calibri" w:cs="Calibri" w:eastAsia="Calibri" w:hAnsi="Calibri"/>
                <w:b/>
                <w:bCs/>
                <w:sz w:val="20"/>
                <w:szCs w:val="20"/>
              </w:rPr>
              <w:t xml:space="preserve">PASS</w:t>
            </w:r>
          </w:p>
        </w:tc>
        <w:tc>
          <w:tcPr>
            <w:tcW w:type="dxa" w:w="5400"/>
            <w:vAlign w:val="center"/>
          </w:tcPr>
          <w:p>
            <w:pPr>
              <w:spacing w:after="40" w:before="40"/>
              <w:jc w:val="left"/>
            </w:pPr>
            <w:r>
              <w:rPr>
                <w:rFonts w:ascii="Calibri" w:cs="Calibri" w:eastAsia="Calibri" w:hAnsi="Calibri"/>
                <w:b w:val="false"/>
                <w:bCs w:val="false"/>
                <w:sz w:val="20"/>
                <w:szCs w:val="20"/>
              </w:rPr>
              <w:t xml:space="preserve">No missing values in key variables (Deaths, Population, Crude Rate, Year)</w:t>
            </w:r>
          </w:p>
        </w:tc>
      </w:tr>
      <w:tr>
        <w:tc>
          <w:tcPr>
            <w:tcW w:type="dxa" w:w="3000"/>
            <w:vAlign w:val="center"/>
          </w:tcPr>
          <w:p>
            <w:pPr>
              <w:spacing w:after="40" w:before="40"/>
              <w:jc w:val="left"/>
            </w:pPr>
            <w:r>
              <w:rPr>
                <w:rFonts w:ascii="Calibri" w:cs="Calibri" w:eastAsia="Calibri" w:hAnsi="Calibri"/>
                <w:b w:val="false"/>
                <w:bCs w:val="false"/>
                <w:sz w:val="20"/>
                <w:szCs w:val="20"/>
              </w:rPr>
              <w:t xml:space="preserve">Value range checks</w:t>
            </w:r>
          </w:p>
        </w:tc>
        <w:tc>
          <w:tcPr>
            <w:tcW w:type="dxa" w:w="1200"/>
            <w:shd w:fill="E2EFDA" w:color="auto" w:val="clear"/>
            <w:vAlign w:val="center"/>
          </w:tcPr>
          <w:p>
            <w:pPr>
              <w:spacing w:after="40" w:before="40"/>
              <w:jc w:val="left"/>
            </w:pPr>
            <w:r>
              <w:rPr>
                <w:rFonts w:ascii="Calibri" w:cs="Calibri" w:eastAsia="Calibri" w:hAnsi="Calibri"/>
                <w:b/>
                <w:bCs/>
                <w:sz w:val="20"/>
                <w:szCs w:val="20"/>
              </w:rPr>
              <w:t xml:space="preserve">PASS</w:t>
            </w:r>
          </w:p>
        </w:tc>
        <w:tc>
          <w:tcPr>
            <w:tcW w:type="dxa" w:w="5400"/>
            <w:vAlign w:val="center"/>
          </w:tcPr>
          <w:p>
            <w:pPr>
              <w:spacing w:after="40" w:before="40"/>
              <w:jc w:val="left"/>
            </w:pPr>
            <w:r>
              <w:rPr>
                <w:rFonts w:ascii="Calibri" w:cs="Calibri" w:eastAsia="Calibri" w:hAnsi="Calibri"/>
                <w:b w:val="false"/>
                <w:bCs w:val="false"/>
                <w:sz w:val="20"/>
                <w:szCs w:val="20"/>
              </w:rPr>
              <w:t xml:space="preserve">No negative death counts, no invalid populations, all years within 2020–2024</w:t>
            </w:r>
          </w:p>
        </w:tc>
      </w:tr>
      <w:tr>
        <w:tc>
          <w:tcPr>
            <w:tcW w:type="dxa" w:w="3000"/>
            <w:vAlign w:val="center"/>
          </w:tcPr>
          <w:p>
            <w:pPr>
              <w:spacing w:after="40" w:before="40"/>
              <w:jc w:val="left"/>
            </w:pPr>
            <w:r>
              <w:rPr>
                <w:rFonts w:ascii="Calibri" w:cs="Calibri" w:eastAsia="Calibri" w:hAnsi="Calibri"/>
                <w:b w:val="false"/>
                <w:bCs w:val="false"/>
                <w:sz w:val="20"/>
                <w:szCs w:val="20"/>
              </w:rPr>
              <w:t xml:space="preserve">Confidence interval consistency</w:t>
            </w:r>
          </w:p>
        </w:tc>
        <w:tc>
          <w:tcPr>
            <w:tcW w:type="dxa" w:w="1200"/>
            <w:shd w:fill="E2EFDA" w:color="auto" w:val="clear"/>
            <w:vAlign w:val="center"/>
          </w:tcPr>
          <w:p>
            <w:pPr>
              <w:spacing w:after="40" w:before="40"/>
              <w:jc w:val="left"/>
            </w:pPr>
            <w:r>
              <w:rPr>
                <w:rFonts w:ascii="Calibri" w:cs="Calibri" w:eastAsia="Calibri" w:hAnsi="Calibri"/>
                <w:b/>
                <w:bCs/>
                <w:sz w:val="20"/>
                <w:szCs w:val="20"/>
              </w:rPr>
              <w:t xml:space="preserve">PASS</w:t>
            </w:r>
          </w:p>
        </w:tc>
        <w:tc>
          <w:tcPr>
            <w:tcW w:type="dxa" w:w="5400"/>
            <w:vAlign w:val="center"/>
          </w:tcPr>
          <w:p>
            <w:pPr>
              <w:spacing w:after="40" w:before="40"/>
              <w:jc w:val="left"/>
            </w:pPr>
            <w:r>
              <w:rPr>
                <w:rFonts w:ascii="Calibri" w:cs="Calibri" w:eastAsia="Calibri" w:hAnsi="Calibri"/>
                <w:b w:val="false"/>
                <w:bCs w:val="false"/>
                <w:sz w:val="20"/>
                <w:szCs w:val="20"/>
              </w:rPr>
              <w:t xml:space="preserve">Rate_LCL ≤ Crude_Rate ≤ Rate_UCL for all records</w:t>
            </w:r>
          </w:p>
        </w:tc>
      </w:tr>
      <w:tr>
        <w:tc>
          <w:tcPr>
            <w:tcW w:type="dxa" w:w="3000"/>
            <w:vAlign w:val="center"/>
          </w:tcPr>
          <w:p>
            <w:pPr>
              <w:spacing w:after="40" w:before="40"/>
              <w:jc w:val="left"/>
            </w:pPr>
            <w:r>
              <w:rPr>
                <w:rFonts w:ascii="Calibri" w:cs="Calibri" w:eastAsia="Calibri" w:hAnsi="Calibri"/>
                <w:b w:val="false"/>
                <w:bCs w:val="false"/>
                <w:sz w:val="20"/>
                <w:szCs w:val="20"/>
              </w:rPr>
              <w:t xml:space="preserve">Rate recalculation</w:t>
            </w:r>
          </w:p>
        </w:tc>
        <w:tc>
          <w:tcPr>
            <w:tcW w:type="dxa" w:w="1200"/>
            <w:shd w:fill="E2EFDA" w:color="auto" w:val="clear"/>
            <w:vAlign w:val="center"/>
          </w:tcPr>
          <w:p>
            <w:pPr>
              <w:spacing w:after="40" w:before="40"/>
              <w:jc w:val="left"/>
            </w:pPr>
            <w:r>
              <w:rPr>
                <w:rFonts w:ascii="Calibri" w:cs="Calibri" w:eastAsia="Calibri" w:hAnsi="Calibri"/>
                <w:b/>
                <w:bCs/>
                <w:sz w:val="20"/>
                <w:szCs w:val="20"/>
              </w:rPr>
              <w:t xml:space="preserve">PASS</w:t>
            </w:r>
          </w:p>
        </w:tc>
        <w:tc>
          <w:tcPr>
            <w:tcW w:type="dxa" w:w="5400"/>
            <w:vAlign w:val="center"/>
          </w:tcPr>
          <w:p>
            <w:pPr>
              <w:spacing w:after="40" w:before="40"/>
              <w:jc w:val="left"/>
            </w:pPr>
            <w:r>
              <w:rPr>
                <w:rFonts w:ascii="Calibri" w:cs="Calibri" w:eastAsia="Calibri" w:hAnsi="Calibri"/>
                <w:b w:val="false"/>
                <w:bCs w:val="false"/>
                <w:sz w:val="20"/>
                <w:szCs w:val="20"/>
              </w:rPr>
              <w:t xml:space="preserve">All CDC-provided rates match (Deaths / Population) × 100,000 within ±0.5</w:t>
            </w:r>
          </w:p>
        </w:tc>
      </w:tr>
    </w:tbl>
    <w:p>
      <w:pPr>
        <w:spacing w:after="120"/>
      </w:pPr>
    </w:p>
    <w:p>
      <w:pPr>
        <w:pStyle w:val="Heading2"/>
        <w:spacing w:after="80" w:before="160"/>
      </w:pPr>
      <w:r>
        <w:t xml:space="preserve">3.3 Suppressed Data</w:t>
      </w:r>
    </w:p>
    <w:p>
      <w:pPr>
        <w:spacing w:after="200"/>
      </w:pPr>
      <w:r>
        <w:rPr>
          <w:rFonts w:ascii="Calibri" w:cs="Calibri" w:eastAsia="Calibri" w:hAnsi="Calibri"/>
          <w:sz w:val="22"/>
          <w:szCs w:val="22"/>
        </w:rPr>
        <w:t xml:space="preserve">Two records were suppressed by CDC WONDER due to small cell counts (fewer than 10 deaths): Native Hawaiian or Other Pacific Islander females in the Northeast region for two of the five study years. This suppression accounts for the shortfall from the expected 240 records to the observed 238. The affected stratum (NHOPI females, Northeast) retains three years of data and is included in the analysis with the understanding that estimates for this group in this region carry wider uncertainty.</w:t>
      </w:r>
    </w:p>
    <w:p>
      <w:r>
        <w:br w:type="page"/>
      </w:r>
    </w:p>
    <w:p>
      <w:pPr>
        <w:pStyle w:val="Heading1"/>
        <w:spacing w:after="120" w:before="240"/>
      </w:pPr>
      <w:r>
        <w:t xml:space="preserve">4. Statistical Methods</w:t>
      </w:r>
    </w:p>
    <w:p>
      <w:pPr>
        <w:pStyle w:val="Heading2"/>
        <w:spacing w:after="80" w:before="160"/>
      </w:pPr>
      <w:r>
        <w:t xml:space="preserve">4.1 Descriptive Analysis</w:t>
      </w:r>
    </w:p>
    <w:p>
      <w:pPr>
        <w:spacing w:after="200"/>
      </w:pPr>
      <w:r>
        <w:rPr>
          <w:rFonts w:ascii="Calibri" w:cs="Calibri" w:eastAsia="Calibri" w:hAnsi="Calibri"/>
          <w:sz w:val="22"/>
          <w:szCs w:val="22"/>
        </w:rPr>
        <w:t xml:space="preserve">Descriptive tables were produced using PROC TABULATE showing mean crude mortality rates and total death counts by race and sex (Table 1), by region and race (Table 2), and by race and year (Table 3). Visualizations were generated using PROC SGPLOT and PROC SGPANEL including grouped bar charts, trend lines, and regional comparison panels.</w:t>
      </w:r>
    </w:p>
    <w:p>
      <w:pPr>
        <w:pStyle w:val="Heading2"/>
        <w:spacing w:after="80" w:before="160"/>
      </w:pPr>
      <w:r>
        <w:t xml:space="preserve">4.2 Poisson Regression (Model 1)</w:t>
      </w:r>
    </w:p>
    <w:p>
      <w:pPr>
        <w:spacing w:after="200"/>
      </w:pPr>
      <w:r>
        <w:rPr>
          <w:rFonts w:ascii="Calibri" w:cs="Calibri" w:eastAsia="Calibri" w:hAnsi="Calibri"/>
          <w:sz w:val="22"/>
          <w:szCs w:val="22"/>
        </w:rPr>
        <w:t xml:space="preserve">A Poisson regression model was fit using PROC GENMOD to estimate adjusted mortality rate ratios by race, controlling for sex, Census region, and calendar year. The model specified Deaths as the dependent variable with a log link function and log(Population) as an offset, which models rates (deaths per person) rather than raw counts. White was selected as the reference category for race, and Female as the reference for sex. ESTIMATE statements with the EXP option were used to produce exponentiated rate ratios with 95% confidence intervals.</w:t>
      </w:r>
    </w:p>
    <w:p>
      <w:pPr>
        <w:pStyle w:val="Heading2"/>
        <w:spacing w:after="80" w:before="160"/>
      </w:pPr>
      <w:r>
        <w:t xml:space="preserve">4.3 Interaction Model (Model 2)</w:t>
      </w:r>
    </w:p>
    <w:p>
      <w:pPr>
        <w:spacing w:after="200"/>
      </w:pPr>
      <w:r>
        <w:rPr>
          <w:rFonts w:ascii="Calibri" w:cs="Calibri" w:eastAsia="Calibri" w:hAnsi="Calibri"/>
          <w:sz w:val="22"/>
          <w:szCs w:val="22"/>
        </w:rPr>
        <w:t xml:space="preserve">A second Poisson regression model included a Race × Sex interaction term to test whether racial disparities in heart disease mortality differ between men and women. The Type 3 likelihood ratio test for the interaction term assessed the overall significance of effect modification by sex.</w:t>
      </w:r>
    </w:p>
    <w:p>
      <w:pPr>
        <w:pStyle w:val="Heading1"/>
        <w:spacing w:after="120" w:before="240"/>
      </w:pPr>
      <w:r>
        <w:t xml:space="preserve">5. Results</w:t>
      </w:r>
    </w:p>
    <w:p>
      <w:pPr>
        <w:pStyle w:val="Heading2"/>
        <w:spacing w:after="80" w:before="160"/>
      </w:pPr>
      <w:r>
        <w:t xml:space="preserve">5.1 Descriptive Findings</w:t>
      </w:r>
    </w:p>
    <w:p>
      <w:pPr>
        <w:spacing w:after="200"/>
      </w:pPr>
      <w:r>
        <w:rPr>
          <w:rFonts w:ascii="Calibri" w:cs="Calibri" w:eastAsia="Calibri" w:hAnsi="Calibri"/>
          <w:sz w:val="22"/>
          <w:szCs w:val="22"/>
        </w:rPr>
        <w:t xml:space="preserve">The analysis dataset included 238 records representing 3,531,898 heart disease deaths across 5 years (2020–2024), 4 Census regions, 6 racial/ethnic groups, and 2 sexes. White populations accounted for the largest share of deaths, consistent with their larger population denominators. Crude mortality rates were highest among White and Black or African American populations, while More than one race and Asian populations had the lowest crude rates. Males had consistently higher crude mortality rates than females across all racial/ethnic groups and regions.</w:t>
      </w:r>
    </w:p>
    <w:p>
      <w:pPr>
        <w:pStyle w:val="Heading2"/>
        <w:spacing w:after="80" w:before="160"/>
      </w:pPr>
      <w:r>
        <w:t xml:space="preserve">5.2 Poisson Regression — Rate Ratios (Model 1)</w:t>
      </w:r>
    </w:p>
    <w:p>
      <w:pPr>
        <w:spacing w:after="120"/>
      </w:pPr>
      <w:r>
        <w:rPr>
          <w:rFonts w:ascii="Calibri" w:cs="Calibri" w:eastAsia="Calibri" w:hAnsi="Calibri"/>
          <w:sz w:val="22"/>
          <w:szCs w:val="22"/>
        </w:rPr>
        <w:t xml:space="preserve">All race and sex effects were statistically significant (p &lt; 0.0001). Adjusted rate ratios relative to White were: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2000"/>
      </w:tblGrid>
      <w:tr>
        <w:tc>
          <w:tcPr>
            <w:tcW w:type="dxa" w:w="3400"/>
            <w:shd w:fill="D9E2F3" w:color="auto" w:val="clear"/>
            <w:vAlign w:val="center"/>
          </w:tcPr>
          <w:p>
            <w:pPr>
              <w:spacing w:after="40" w:before="40"/>
              <w:jc w:val="left"/>
            </w:pPr>
            <w:r>
              <w:rPr>
                <w:rFonts w:ascii="Calibri" w:cs="Calibri" w:eastAsia="Calibri" w:hAnsi="Calibri"/>
                <w:b/>
                <w:bCs/>
                <w:sz w:val="20"/>
                <w:szCs w:val="20"/>
              </w:rPr>
              <w:t xml:space="preserve">Comparison</w:t>
            </w:r>
          </w:p>
        </w:tc>
        <w:tc>
          <w:tcPr>
            <w:tcW w:type="dxa" w:w="1400"/>
            <w:shd w:fill="D9E2F3" w:color="auto" w:val="clear"/>
            <w:vAlign w:val="center"/>
          </w:tcPr>
          <w:p>
            <w:pPr>
              <w:spacing w:after="40" w:before="40"/>
              <w:jc w:val="center"/>
            </w:pPr>
            <w:r>
              <w:rPr>
                <w:rFonts w:ascii="Calibri" w:cs="Calibri" w:eastAsia="Calibri" w:hAnsi="Calibri"/>
                <w:b w:val="false"/>
                <w:bCs w:val="false"/>
                <w:sz w:val="20"/>
                <w:szCs w:val="20"/>
              </w:rPr>
              <w:t xml:space="preserve">Rate Ratio</w:t>
            </w:r>
          </w:p>
        </w:tc>
        <w:tc>
          <w:tcPr>
            <w:tcW w:type="dxa" w:w="1400"/>
            <w:shd w:fill="D9E2F3" w:color="auto" w:val="clear"/>
            <w:vAlign w:val="center"/>
          </w:tcPr>
          <w:p>
            <w:pPr>
              <w:spacing w:after="40" w:before="40"/>
              <w:jc w:val="center"/>
            </w:pPr>
            <w:r>
              <w:rPr>
                <w:rFonts w:ascii="Calibri" w:cs="Calibri" w:eastAsia="Calibri" w:hAnsi="Calibri"/>
                <w:b w:val="false"/>
                <w:bCs w:val="false"/>
                <w:sz w:val="20"/>
                <w:szCs w:val="20"/>
              </w:rPr>
              <w:t xml:space="preserve">95% LCL</w:t>
            </w:r>
          </w:p>
        </w:tc>
        <w:tc>
          <w:tcPr>
            <w:tcW w:type="dxa" w:w="1400"/>
            <w:shd w:fill="D9E2F3" w:color="auto" w:val="clear"/>
            <w:vAlign w:val="center"/>
          </w:tcPr>
          <w:p>
            <w:pPr>
              <w:spacing w:after="40" w:before="40"/>
              <w:jc w:val="center"/>
            </w:pPr>
            <w:r>
              <w:rPr>
                <w:rFonts w:ascii="Calibri" w:cs="Calibri" w:eastAsia="Calibri" w:hAnsi="Calibri"/>
                <w:b w:val="false"/>
                <w:bCs w:val="false"/>
                <w:sz w:val="20"/>
                <w:szCs w:val="20"/>
              </w:rPr>
              <w:t xml:space="preserve">95% UCL</w:t>
            </w:r>
          </w:p>
        </w:tc>
        <w:tc>
          <w:tcPr>
            <w:tcW w:type="dxa" w:w="2000"/>
            <w:shd w:fill="D9E2F3" w:color="auto" w:val="clear"/>
            <w:vAlign w:val="center"/>
          </w:tcPr>
          <w:p>
            <w:pPr>
              <w:spacing w:after="40" w:before="40"/>
              <w:jc w:val="center"/>
            </w:pPr>
            <w:r>
              <w:rPr>
                <w:rFonts w:ascii="Calibri" w:cs="Calibri" w:eastAsia="Calibri" w:hAnsi="Calibri"/>
                <w:b w:val="false"/>
                <w:bCs w:val="false"/>
                <w:sz w:val="20"/>
                <w:szCs w:val="20"/>
              </w:rPr>
              <w:t xml:space="preserve">P-value</w:t>
            </w:r>
          </w:p>
        </w:tc>
      </w:tr>
      <w:tr>
        <w:tc>
          <w:tcPr>
            <w:tcW w:type="dxa" w:w="3400"/>
            <w:vAlign w:val="center"/>
          </w:tcPr>
          <w:p>
            <w:pPr>
              <w:spacing w:after="40" w:before="40"/>
              <w:jc w:val="left"/>
            </w:pPr>
            <w:r>
              <w:rPr>
                <w:rFonts w:ascii="Calibri" w:cs="Calibri" w:eastAsia="Calibri" w:hAnsi="Calibri"/>
                <w:b w:val="false"/>
                <w:bCs w:val="false"/>
                <w:sz w:val="20"/>
                <w:szCs w:val="20"/>
              </w:rPr>
              <w:t xml:space="preserve">AIAN vs White</w:t>
            </w:r>
          </w:p>
        </w:tc>
        <w:tc>
          <w:tcPr>
            <w:tcW w:type="dxa" w:w="1400"/>
            <w:vAlign w:val="center"/>
          </w:tcPr>
          <w:p>
            <w:pPr>
              <w:spacing w:after="40" w:before="40"/>
              <w:jc w:val="center"/>
            </w:pPr>
            <w:r>
              <w:rPr>
                <w:rFonts w:ascii="Calibri" w:cs="Calibri" w:eastAsia="Calibri" w:hAnsi="Calibri"/>
                <w:b w:val="false"/>
                <w:bCs w:val="false"/>
                <w:sz w:val="20"/>
                <w:szCs w:val="20"/>
              </w:rPr>
              <w:t xml:space="preserve">0.40</w:t>
            </w:r>
          </w:p>
        </w:tc>
        <w:tc>
          <w:tcPr>
            <w:tcW w:type="dxa" w:w="1400"/>
            <w:vAlign w:val="center"/>
          </w:tcPr>
          <w:p>
            <w:pPr>
              <w:spacing w:after="40" w:before="40"/>
              <w:jc w:val="center"/>
            </w:pPr>
            <w:r>
              <w:rPr>
                <w:rFonts w:ascii="Calibri" w:cs="Calibri" w:eastAsia="Calibri" w:hAnsi="Calibri"/>
                <w:b w:val="false"/>
                <w:bCs w:val="false"/>
                <w:sz w:val="20"/>
                <w:szCs w:val="20"/>
              </w:rPr>
              <w:t xml:space="preserve">0.394</w:t>
            </w:r>
          </w:p>
        </w:tc>
        <w:tc>
          <w:tcPr>
            <w:tcW w:type="dxa" w:w="1400"/>
            <w:vAlign w:val="center"/>
          </w:tcPr>
          <w:p>
            <w:pPr>
              <w:spacing w:after="40" w:before="40"/>
              <w:jc w:val="center"/>
            </w:pPr>
            <w:r>
              <w:rPr>
                <w:rFonts w:ascii="Calibri" w:cs="Calibri" w:eastAsia="Calibri" w:hAnsi="Calibri"/>
                <w:b w:val="false"/>
                <w:bCs w:val="false"/>
                <w:sz w:val="20"/>
                <w:szCs w:val="20"/>
              </w:rPr>
              <w:t xml:space="preserve">0.405</w:t>
            </w:r>
          </w:p>
        </w:tc>
        <w:tc>
          <w:tcPr>
            <w:tcW w:type="dxa" w:w="2000"/>
            <w:vAlign w:val="center"/>
          </w:tcPr>
          <w:p>
            <w:pPr>
              <w:spacing w:after="40" w:before="40"/>
              <w:jc w:val="center"/>
            </w:pPr>
            <w:r>
              <w:rPr>
                <w:rFonts w:ascii="Calibri" w:cs="Calibri" w:eastAsia="Calibri" w:hAnsi="Calibri"/>
                <w:b w:val="false"/>
                <w:bCs w:val="false"/>
                <w:sz w:val="20"/>
                <w:szCs w:val="20"/>
              </w:rPr>
              <w:t xml:space="preserve">&lt;0.0001</w:t>
            </w:r>
          </w:p>
        </w:tc>
      </w:tr>
      <w:tr>
        <w:tc>
          <w:tcPr>
            <w:tcW w:type="dxa" w:w="3400"/>
            <w:vAlign w:val="center"/>
          </w:tcPr>
          <w:p>
            <w:pPr>
              <w:spacing w:after="40" w:before="40"/>
              <w:jc w:val="left"/>
            </w:pPr>
            <w:r>
              <w:rPr>
                <w:rFonts w:ascii="Calibri" w:cs="Calibri" w:eastAsia="Calibri" w:hAnsi="Calibri"/>
                <w:b w:val="false"/>
                <w:bCs w:val="false"/>
                <w:sz w:val="20"/>
                <w:szCs w:val="20"/>
              </w:rPr>
              <w:t xml:space="preserve">Asian vs White</w:t>
            </w:r>
          </w:p>
        </w:tc>
        <w:tc>
          <w:tcPr>
            <w:tcW w:type="dxa" w:w="1400"/>
            <w:vAlign w:val="center"/>
          </w:tcPr>
          <w:p>
            <w:pPr>
              <w:spacing w:after="40" w:before="40"/>
              <w:jc w:val="center"/>
            </w:pPr>
            <w:r>
              <w:rPr>
                <w:rFonts w:ascii="Calibri" w:cs="Calibri" w:eastAsia="Calibri" w:hAnsi="Calibri"/>
                <w:b w:val="false"/>
                <w:bCs w:val="false"/>
                <w:sz w:val="20"/>
                <w:szCs w:val="20"/>
              </w:rPr>
              <w:t xml:space="preserve">0.38</w:t>
            </w:r>
          </w:p>
        </w:tc>
        <w:tc>
          <w:tcPr>
            <w:tcW w:type="dxa" w:w="1400"/>
            <w:vAlign w:val="center"/>
          </w:tcPr>
          <w:p>
            <w:pPr>
              <w:spacing w:after="40" w:before="40"/>
              <w:jc w:val="center"/>
            </w:pPr>
            <w:r>
              <w:rPr>
                <w:rFonts w:ascii="Calibri" w:cs="Calibri" w:eastAsia="Calibri" w:hAnsi="Calibri"/>
                <w:b w:val="false"/>
                <w:bCs w:val="false"/>
                <w:sz w:val="20"/>
                <w:szCs w:val="20"/>
              </w:rPr>
              <w:t xml:space="preserve">0.381</w:t>
            </w:r>
          </w:p>
        </w:tc>
        <w:tc>
          <w:tcPr>
            <w:tcW w:type="dxa" w:w="1400"/>
            <w:vAlign w:val="center"/>
          </w:tcPr>
          <w:p>
            <w:pPr>
              <w:spacing w:after="40" w:before="40"/>
              <w:jc w:val="center"/>
            </w:pPr>
            <w:r>
              <w:rPr>
                <w:rFonts w:ascii="Calibri" w:cs="Calibri" w:eastAsia="Calibri" w:hAnsi="Calibri"/>
                <w:b w:val="false"/>
                <w:bCs w:val="false"/>
                <w:sz w:val="20"/>
                <w:szCs w:val="20"/>
              </w:rPr>
              <w:t xml:space="preserve">0.386</w:t>
            </w:r>
          </w:p>
        </w:tc>
        <w:tc>
          <w:tcPr>
            <w:tcW w:type="dxa" w:w="2000"/>
            <w:vAlign w:val="center"/>
          </w:tcPr>
          <w:p>
            <w:pPr>
              <w:spacing w:after="40" w:before="40"/>
              <w:jc w:val="center"/>
            </w:pPr>
            <w:r>
              <w:rPr>
                <w:rFonts w:ascii="Calibri" w:cs="Calibri" w:eastAsia="Calibri" w:hAnsi="Calibri"/>
                <w:b w:val="false"/>
                <w:bCs w:val="false"/>
                <w:sz w:val="20"/>
                <w:szCs w:val="20"/>
              </w:rPr>
              <w:t xml:space="preserve">&lt;0.0001</w:t>
            </w:r>
          </w:p>
        </w:tc>
      </w:tr>
      <w:tr>
        <w:tc>
          <w:tcPr>
            <w:tcW w:type="dxa" w:w="3400"/>
            <w:vAlign w:val="center"/>
          </w:tcPr>
          <w:p>
            <w:pPr>
              <w:spacing w:after="40" w:before="40"/>
              <w:jc w:val="left"/>
            </w:pPr>
            <w:r>
              <w:rPr>
                <w:rFonts w:ascii="Calibri" w:cs="Calibri" w:eastAsia="Calibri" w:hAnsi="Calibri"/>
                <w:b w:val="false"/>
                <w:bCs w:val="false"/>
                <w:sz w:val="20"/>
                <w:szCs w:val="20"/>
              </w:rPr>
              <w:t xml:space="preserve">Black or African American vs White</w:t>
            </w:r>
          </w:p>
        </w:tc>
        <w:tc>
          <w:tcPr>
            <w:tcW w:type="dxa" w:w="1400"/>
            <w:vAlign w:val="center"/>
          </w:tcPr>
          <w:p>
            <w:pPr>
              <w:spacing w:after="40" w:before="40"/>
              <w:jc w:val="center"/>
            </w:pPr>
            <w:r>
              <w:rPr>
                <w:rFonts w:ascii="Calibri" w:cs="Calibri" w:eastAsia="Calibri" w:hAnsi="Calibri"/>
                <w:b w:val="false"/>
                <w:bCs w:val="false"/>
                <w:sz w:val="20"/>
                <w:szCs w:val="20"/>
              </w:rPr>
              <w:t xml:space="preserve">0.86</w:t>
            </w:r>
          </w:p>
        </w:tc>
        <w:tc>
          <w:tcPr>
            <w:tcW w:type="dxa" w:w="1400"/>
            <w:vAlign w:val="center"/>
          </w:tcPr>
          <w:p>
            <w:pPr>
              <w:spacing w:after="40" w:before="40"/>
              <w:jc w:val="center"/>
            </w:pPr>
            <w:r>
              <w:rPr>
                <w:rFonts w:ascii="Calibri" w:cs="Calibri" w:eastAsia="Calibri" w:hAnsi="Calibri"/>
                <w:b w:val="false"/>
                <w:bCs w:val="false"/>
                <w:sz w:val="20"/>
                <w:szCs w:val="20"/>
              </w:rPr>
              <w:t xml:space="preserve">0.853</w:t>
            </w:r>
          </w:p>
        </w:tc>
        <w:tc>
          <w:tcPr>
            <w:tcW w:type="dxa" w:w="1400"/>
            <w:vAlign w:val="center"/>
          </w:tcPr>
          <w:p>
            <w:pPr>
              <w:spacing w:after="40" w:before="40"/>
              <w:jc w:val="center"/>
            </w:pPr>
            <w:r>
              <w:rPr>
                <w:rFonts w:ascii="Calibri" w:cs="Calibri" w:eastAsia="Calibri" w:hAnsi="Calibri"/>
                <w:b w:val="false"/>
                <w:bCs w:val="false"/>
                <w:sz w:val="20"/>
                <w:szCs w:val="20"/>
              </w:rPr>
              <w:t xml:space="preserve">0.858</w:t>
            </w:r>
          </w:p>
        </w:tc>
        <w:tc>
          <w:tcPr>
            <w:tcW w:type="dxa" w:w="2000"/>
            <w:vAlign w:val="center"/>
          </w:tcPr>
          <w:p>
            <w:pPr>
              <w:spacing w:after="40" w:before="40"/>
              <w:jc w:val="center"/>
            </w:pPr>
            <w:r>
              <w:rPr>
                <w:rFonts w:ascii="Calibri" w:cs="Calibri" w:eastAsia="Calibri" w:hAnsi="Calibri"/>
                <w:b w:val="false"/>
                <w:bCs w:val="false"/>
                <w:sz w:val="20"/>
                <w:szCs w:val="20"/>
              </w:rPr>
              <w:t xml:space="preserve">&lt;0.0001</w:t>
            </w:r>
          </w:p>
        </w:tc>
      </w:tr>
      <w:tr>
        <w:tc>
          <w:tcPr>
            <w:tcW w:type="dxa" w:w="3400"/>
            <w:vAlign w:val="center"/>
          </w:tcPr>
          <w:p>
            <w:pPr>
              <w:spacing w:after="40" w:before="40"/>
              <w:jc w:val="left"/>
            </w:pPr>
            <w:r>
              <w:rPr>
                <w:rFonts w:ascii="Calibri" w:cs="Calibri" w:eastAsia="Calibri" w:hAnsi="Calibri"/>
                <w:b w:val="false"/>
                <w:bCs w:val="false"/>
                <w:sz w:val="20"/>
                <w:szCs w:val="20"/>
              </w:rPr>
              <w:t xml:space="preserve">More than one race vs White</w:t>
            </w:r>
          </w:p>
        </w:tc>
        <w:tc>
          <w:tcPr>
            <w:tcW w:type="dxa" w:w="1400"/>
            <w:vAlign w:val="center"/>
          </w:tcPr>
          <w:p>
            <w:pPr>
              <w:spacing w:after="40" w:before="40"/>
              <w:jc w:val="center"/>
            </w:pPr>
            <w:r>
              <w:rPr>
                <w:rFonts w:ascii="Calibri" w:cs="Calibri" w:eastAsia="Calibri" w:hAnsi="Calibri"/>
                <w:b w:val="false"/>
                <w:bCs w:val="false"/>
                <w:sz w:val="20"/>
                <w:szCs w:val="20"/>
              </w:rPr>
              <w:t xml:space="preserve">0.15</w:t>
            </w:r>
          </w:p>
        </w:tc>
        <w:tc>
          <w:tcPr>
            <w:tcW w:type="dxa" w:w="1400"/>
            <w:vAlign w:val="center"/>
          </w:tcPr>
          <w:p>
            <w:pPr>
              <w:spacing w:after="40" w:before="40"/>
              <w:jc w:val="center"/>
            </w:pPr>
            <w:r>
              <w:rPr>
                <w:rFonts w:ascii="Calibri" w:cs="Calibri" w:eastAsia="Calibri" w:hAnsi="Calibri"/>
                <w:b w:val="false"/>
                <w:bCs w:val="false"/>
                <w:sz w:val="20"/>
                <w:szCs w:val="20"/>
              </w:rPr>
              <w:t xml:space="preserve">0.147</w:t>
            </w:r>
          </w:p>
        </w:tc>
        <w:tc>
          <w:tcPr>
            <w:tcW w:type="dxa" w:w="1400"/>
            <w:vAlign w:val="center"/>
          </w:tcPr>
          <w:p>
            <w:pPr>
              <w:spacing w:after="40" w:before="40"/>
              <w:jc w:val="center"/>
            </w:pPr>
            <w:r>
              <w:rPr>
                <w:rFonts w:ascii="Calibri" w:cs="Calibri" w:eastAsia="Calibri" w:hAnsi="Calibri"/>
                <w:b w:val="false"/>
                <w:bCs w:val="false"/>
                <w:sz w:val="20"/>
                <w:szCs w:val="20"/>
              </w:rPr>
              <w:t xml:space="preserve">0.152</w:t>
            </w:r>
          </w:p>
        </w:tc>
        <w:tc>
          <w:tcPr>
            <w:tcW w:type="dxa" w:w="2000"/>
            <w:vAlign w:val="center"/>
          </w:tcPr>
          <w:p>
            <w:pPr>
              <w:spacing w:after="40" w:before="40"/>
              <w:jc w:val="center"/>
            </w:pPr>
            <w:r>
              <w:rPr>
                <w:rFonts w:ascii="Calibri" w:cs="Calibri" w:eastAsia="Calibri" w:hAnsi="Calibri"/>
                <w:b w:val="false"/>
                <w:bCs w:val="false"/>
                <w:sz w:val="20"/>
                <w:szCs w:val="20"/>
              </w:rPr>
              <w:t xml:space="preserve">&lt;0.0001</w:t>
            </w:r>
          </w:p>
        </w:tc>
      </w:tr>
      <w:tr>
        <w:tc>
          <w:tcPr>
            <w:tcW w:type="dxa" w:w="3400"/>
            <w:vAlign w:val="center"/>
          </w:tcPr>
          <w:p>
            <w:pPr>
              <w:spacing w:after="40" w:before="40"/>
              <w:jc w:val="left"/>
            </w:pPr>
            <w:r>
              <w:rPr>
                <w:rFonts w:ascii="Calibri" w:cs="Calibri" w:eastAsia="Calibri" w:hAnsi="Calibri"/>
                <w:b w:val="false"/>
                <w:bCs w:val="false"/>
                <w:sz w:val="20"/>
                <w:szCs w:val="20"/>
              </w:rPr>
              <w:t xml:space="preserve">NHOPI vs White</w:t>
            </w:r>
          </w:p>
        </w:tc>
        <w:tc>
          <w:tcPr>
            <w:tcW w:type="dxa" w:w="1400"/>
            <w:vAlign w:val="center"/>
          </w:tcPr>
          <w:p>
            <w:pPr>
              <w:spacing w:after="40" w:before="40"/>
              <w:jc w:val="center"/>
            </w:pPr>
            <w:r>
              <w:rPr>
                <w:rFonts w:ascii="Calibri" w:cs="Calibri" w:eastAsia="Calibri" w:hAnsi="Calibri"/>
                <w:b w:val="false"/>
                <w:bCs w:val="false"/>
                <w:sz w:val="20"/>
                <w:szCs w:val="20"/>
              </w:rPr>
              <w:t xml:space="preserve">0.57</w:t>
            </w:r>
          </w:p>
        </w:tc>
        <w:tc>
          <w:tcPr>
            <w:tcW w:type="dxa" w:w="1400"/>
            <w:vAlign w:val="center"/>
          </w:tcPr>
          <w:p>
            <w:pPr>
              <w:spacing w:after="40" w:before="40"/>
              <w:jc w:val="center"/>
            </w:pPr>
            <w:r>
              <w:rPr>
                <w:rFonts w:ascii="Calibri" w:cs="Calibri" w:eastAsia="Calibri" w:hAnsi="Calibri"/>
                <w:b w:val="false"/>
                <w:bCs w:val="false"/>
                <w:sz w:val="20"/>
                <w:szCs w:val="20"/>
              </w:rPr>
              <w:t xml:space="preserve">0.552</w:t>
            </w:r>
          </w:p>
        </w:tc>
        <w:tc>
          <w:tcPr>
            <w:tcW w:type="dxa" w:w="1400"/>
            <w:vAlign w:val="center"/>
          </w:tcPr>
          <w:p>
            <w:pPr>
              <w:spacing w:after="40" w:before="40"/>
              <w:jc w:val="center"/>
            </w:pPr>
            <w:r>
              <w:rPr>
                <w:rFonts w:ascii="Calibri" w:cs="Calibri" w:eastAsia="Calibri" w:hAnsi="Calibri"/>
                <w:b w:val="false"/>
                <w:bCs w:val="false"/>
                <w:sz w:val="20"/>
                <w:szCs w:val="20"/>
              </w:rPr>
              <w:t xml:space="preserve">0.583</w:t>
            </w:r>
          </w:p>
        </w:tc>
        <w:tc>
          <w:tcPr>
            <w:tcW w:type="dxa" w:w="2000"/>
            <w:vAlign w:val="center"/>
          </w:tcPr>
          <w:p>
            <w:pPr>
              <w:spacing w:after="40" w:before="40"/>
              <w:jc w:val="center"/>
            </w:pPr>
            <w:r>
              <w:rPr>
                <w:rFonts w:ascii="Calibri" w:cs="Calibri" w:eastAsia="Calibri" w:hAnsi="Calibri"/>
                <w:b w:val="false"/>
                <w:bCs w:val="false"/>
                <w:sz w:val="20"/>
                <w:szCs w:val="20"/>
              </w:rPr>
              <w:t xml:space="preserve">&lt;0.0001</w:t>
            </w:r>
          </w:p>
        </w:tc>
      </w:tr>
      <w:tr>
        <w:tc>
          <w:tcPr>
            <w:tcW w:type="dxa" w:w="3400"/>
            <w:vAlign w:val="center"/>
          </w:tcPr>
          <w:p>
            <w:pPr>
              <w:spacing w:after="40" w:before="40"/>
              <w:jc w:val="left"/>
            </w:pPr>
            <w:r>
              <w:rPr>
                <w:rFonts w:ascii="Calibri" w:cs="Calibri" w:eastAsia="Calibri" w:hAnsi="Calibri"/>
                <w:b w:val="false"/>
                <w:bCs w:val="false"/>
                <w:sz w:val="20"/>
                <w:szCs w:val="20"/>
              </w:rPr>
              <w:t xml:space="preserve">Male vs Female</w:t>
            </w:r>
          </w:p>
        </w:tc>
        <w:tc>
          <w:tcPr>
            <w:tcW w:type="dxa" w:w="1400"/>
            <w:vAlign w:val="center"/>
          </w:tcPr>
          <w:p>
            <w:pPr>
              <w:spacing w:after="40" w:before="40"/>
              <w:jc w:val="center"/>
            </w:pPr>
            <w:r>
              <w:rPr>
                <w:rFonts w:ascii="Calibri" w:cs="Calibri" w:eastAsia="Calibri" w:hAnsi="Calibri"/>
                <w:b w:val="false"/>
                <w:bCs w:val="false"/>
                <w:sz w:val="20"/>
                <w:szCs w:val="20"/>
              </w:rPr>
              <w:t xml:space="preserve">1.25</w:t>
            </w:r>
          </w:p>
        </w:tc>
        <w:tc>
          <w:tcPr>
            <w:tcW w:type="dxa" w:w="1400"/>
            <w:vAlign w:val="center"/>
          </w:tcPr>
          <w:p>
            <w:pPr>
              <w:spacing w:after="40" w:before="40"/>
              <w:jc w:val="center"/>
            </w:pPr>
            <w:r>
              <w:rPr>
                <w:rFonts w:ascii="Calibri" w:cs="Calibri" w:eastAsia="Calibri" w:hAnsi="Calibri"/>
                <w:b w:val="false"/>
                <w:bCs w:val="false"/>
                <w:sz w:val="20"/>
                <w:szCs w:val="20"/>
              </w:rPr>
              <w:t xml:space="preserve">1.250</w:t>
            </w:r>
          </w:p>
        </w:tc>
        <w:tc>
          <w:tcPr>
            <w:tcW w:type="dxa" w:w="1400"/>
            <w:vAlign w:val="center"/>
          </w:tcPr>
          <w:p>
            <w:pPr>
              <w:spacing w:after="40" w:before="40"/>
              <w:jc w:val="center"/>
            </w:pPr>
            <w:r>
              <w:rPr>
                <w:rFonts w:ascii="Calibri" w:cs="Calibri" w:eastAsia="Calibri" w:hAnsi="Calibri"/>
                <w:b w:val="false"/>
                <w:bCs w:val="false"/>
                <w:sz w:val="20"/>
                <w:szCs w:val="20"/>
              </w:rPr>
              <w:t xml:space="preserve">1.255</w:t>
            </w:r>
          </w:p>
        </w:tc>
        <w:tc>
          <w:tcPr>
            <w:tcW w:type="dxa" w:w="2000"/>
            <w:vAlign w:val="center"/>
          </w:tcPr>
          <w:p>
            <w:pPr>
              <w:spacing w:after="40" w:before="40"/>
              <w:jc w:val="center"/>
            </w:pPr>
            <w:r>
              <w:rPr>
                <w:rFonts w:ascii="Calibri" w:cs="Calibri" w:eastAsia="Calibri" w:hAnsi="Calibri"/>
                <w:b w:val="false"/>
                <w:bCs w:val="false"/>
                <w:sz w:val="20"/>
                <w:szCs w:val="20"/>
              </w:rPr>
              <w:t xml:space="preserve">&lt;0.0001</w:t>
            </w:r>
          </w:p>
        </w:tc>
      </w:tr>
    </w:tbl>
    <w:p>
      <w:pPr>
        <w:spacing w:after="120"/>
      </w:pPr>
    </w:p>
    <w:p>
      <w:pPr>
        <w:spacing w:after="200"/>
      </w:pPr>
      <w:r>
        <w:rPr>
          <w:rFonts w:ascii="Calibri" w:cs="Calibri" w:eastAsia="Calibri" w:hAnsi="Calibri"/>
          <w:sz w:val="22"/>
          <w:szCs w:val="22"/>
        </w:rPr>
        <w:t xml:space="preserve">All non-White racial/ethnic groups had significantly lower adjusted heart disease mortality rates than White populations. Black or African American populations had the smallest disparity (rate ratio 0.86, 14% lower), while More than one race had the largest (rate ratio 0.15, 85% lower). Males had 25% higher mortality than females (rate ratio 1.25). Heart disease mortality showed a small but statistically significant decline over the study period (Year coefficient: −0.012, p &lt; 0.0001).</w:t>
      </w:r>
    </w:p>
    <w:p>
      <w:pPr>
        <w:pStyle w:val="Heading2"/>
        <w:spacing w:after="80" w:before="160"/>
      </w:pPr>
      <w:r>
        <w:t xml:space="preserve">5.3 Model Fit</w:t>
      </w:r>
    </w:p>
    <w:p>
      <w:pPr>
        <w:spacing w:after="200"/>
      </w:pPr>
      <w:r>
        <w:rPr>
          <w:rFonts w:ascii="Calibri" w:cs="Calibri" w:eastAsia="Calibri" w:hAnsi="Calibri"/>
          <w:sz w:val="22"/>
          <w:szCs w:val="22"/>
        </w:rPr>
        <w:t xml:space="preserve">The Deviance/DF statistic was 105.6, substantially above 1.0, indicating significant overdispersion. This is expected for aggregate population-level mortality data where death counts within demographic strata exhibit more variability than the Poisson distribution assumes. A negative binomial model or a Poisson model with a scale parameter could address this overdispersion; however, the primary purpose of this analysis is to estimate adjusted rate ratios rather than to perform hypothesis tests at nominal significance levels, and the point estimates remain valid under overdispersion.</w:t>
      </w:r>
    </w:p>
    <w:p>
      <w:r>
        <w:br w:type="page"/>
      </w:r>
    </w:p>
    <w:p>
      <w:pPr>
        <w:pStyle w:val="Heading1"/>
        <w:spacing w:after="120" w:before="240"/>
      </w:pPr>
      <w:r>
        <w:t xml:space="preserve">6. Limitations</w:t>
      </w:r>
    </w:p>
    <w:p>
      <w:pPr>
        <w:spacing w:after="160"/>
      </w:pPr>
      <w:r>
        <w:rPr>
          <w:rFonts w:ascii="Calibri" w:cs="Calibri" w:eastAsia="Calibri" w:hAnsi="Calibri"/>
          <w:b/>
          <w:bCs/>
          <w:sz w:val="22"/>
          <w:szCs w:val="22"/>
        </w:rPr>
        <w:t xml:space="preserve">Crude rates without age adjustment. </w:t>
      </w:r>
      <w:r>
        <w:rPr>
          <w:rFonts w:ascii="Calibri" w:cs="Calibri" w:eastAsia="Calibri" w:hAnsi="Calibri"/>
          <w:sz w:val="22"/>
          <w:szCs w:val="22"/>
        </w:rPr>
        <w:t xml:space="preserve">The mortality rates provided by CDC WONDER in this query are crude rates (deaths per 100,000 total population), not age-adjusted rates. Because heart disease disproportionately affects older adults, and racial/ethnic groups differ substantially in age distribution, crude rates primarily reflect the age structure of each population rather than underlying disease risk. The finding that White populations have the highest crude rates is largely attributable to the older age distribution of the White population. Age-adjusted rates would likely show a different pattern, particularly for Black or African American populations, which have well-documented elevated cardiovascular mortality when age is accounted for. This limitation is the single most important caveat for interpreting these results.</w:t>
      </w:r>
    </w:p>
    <w:p>
      <w:pPr>
        <w:spacing w:after="160"/>
      </w:pPr>
      <w:r>
        <w:rPr>
          <w:rFonts w:ascii="Calibri" w:cs="Calibri" w:eastAsia="Calibri" w:hAnsi="Calibri"/>
          <w:b/>
          <w:bCs/>
          <w:sz w:val="22"/>
          <w:szCs w:val="22"/>
        </w:rPr>
        <w:t xml:space="preserve">Suppressed cells. </w:t>
      </w:r>
      <w:r>
        <w:rPr>
          <w:rFonts w:ascii="Calibri" w:cs="Calibri" w:eastAsia="Calibri" w:hAnsi="Calibri"/>
          <w:sz w:val="22"/>
          <w:szCs w:val="22"/>
        </w:rPr>
        <w:t xml:space="preserve">Two records were suppressed by CDC WONDER for small cell sizes. This affects the Native Hawaiian or Other Pacific Islander female population in the Northeast and may introduce slight bias in estimates for this group.</w:t>
      </w:r>
    </w:p>
    <w:p>
      <w:pPr>
        <w:spacing w:after="160"/>
      </w:pPr>
      <w:r>
        <w:rPr>
          <w:rFonts w:ascii="Calibri" w:cs="Calibri" w:eastAsia="Calibri" w:hAnsi="Calibri"/>
          <w:b/>
          <w:bCs/>
          <w:sz w:val="22"/>
          <w:szCs w:val="22"/>
        </w:rPr>
        <w:t xml:space="preserve">Overdispersion. </w:t>
      </w:r>
      <w:r>
        <w:rPr>
          <w:rFonts w:ascii="Calibri" w:cs="Calibri" w:eastAsia="Calibri" w:hAnsi="Calibri"/>
          <w:sz w:val="22"/>
          <w:szCs w:val="22"/>
        </w:rPr>
        <w:t xml:space="preserve">The Poisson model exhibits significant overdispersion (Deviance/DF = 105.6). While point estimates of rate ratios are unaffected, standard errors may be underestimated, which means confidence intervals may be too narrow and p-values too small. For a production analysis, a negative binomial model or scaled Poisson model would be appropriate.</w:t>
      </w:r>
    </w:p>
    <w:p>
      <w:pPr>
        <w:spacing w:after="160"/>
      </w:pPr>
      <w:r>
        <w:rPr>
          <w:rFonts w:ascii="Calibri" w:cs="Calibri" w:eastAsia="Calibri" w:hAnsi="Calibri"/>
          <w:b/>
          <w:bCs/>
          <w:sz w:val="22"/>
          <w:szCs w:val="22"/>
        </w:rPr>
        <w:t xml:space="preserve">Single Race classification. </w:t>
      </w:r>
      <w:r>
        <w:rPr>
          <w:rFonts w:ascii="Calibri" w:cs="Calibri" w:eastAsia="Calibri" w:hAnsi="Calibri"/>
          <w:sz w:val="22"/>
          <w:szCs w:val="22"/>
        </w:rPr>
        <w:t xml:space="preserve">The CDC WONDER Single Race 6 classification does not include Hispanic/Latino as a separate category, as Hispanic origin is considered an ethnicity rather than a race. Individuals of Hispanic origin are distributed across the six racial categories. This limits the ability to examine Hispanic/Latino mortality disparities, which are an important public health concern.</w:t>
      </w:r>
    </w:p>
    <w:p>
      <w:pPr>
        <w:spacing w:after="200"/>
      </w:pPr>
      <w:r>
        <w:rPr>
          <w:rFonts w:ascii="Calibri" w:cs="Calibri" w:eastAsia="Calibri" w:hAnsi="Calibri"/>
          <w:b/>
          <w:bCs/>
          <w:sz w:val="22"/>
          <w:szCs w:val="22"/>
        </w:rPr>
        <w:t xml:space="preserve">Ecological analysis. </w:t>
      </w:r>
      <w:r>
        <w:rPr>
          <w:rFonts w:ascii="Calibri" w:cs="Calibri" w:eastAsia="Calibri" w:hAnsi="Calibri"/>
          <w:sz w:val="22"/>
          <w:szCs w:val="22"/>
        </w:rPr>
        <w:t xml:space="preserve">This is an aggregate-level analysis based on population-level mortality counts and denominators. Individual-level confounders such as socioeconomic status, smoking, comorbidities, and access to healthcare cannot be controlled for. Associations observed at the group level may not hold at the individual level (ecological fallacy).</w:t>
      </w:r>
    </w:p>
    <w:p>
      <w:pPr>
        <w:pStyle w:val="Heading1"/>
        <w:spacing w:after="120" w:before="240"/>
      </w:pPr>
      <w:r>
        <w:t xml:space="preserve">7. Programs and Reproducibility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D9E2F3" w:color="auto" w:val="clear"/>
            <w:vAlign w:val="center"/>
          </w:tcPr>
          <w:p>
            <w:pPr>
              <w:spacing w:after="40" w:before="40"/>
              <w:jc w:val="left"/>
            </w:pPr>
            <w:r>
              <w:rPr>
                <w:rFonts w:ascii="Calibri" w:cs="Calibri" w:eastAsia="Calibri" w:hAnsi="Calibri"/>
                <w:b/>
                <w:bCs/>
                <w:sz w:val="20"/>
                <w:szCs w:val="20"/>
              </w:rPr>
              <w:t xml:space="preserve">Program</w:t>
            </w:r>
          </w:p>
        </w:tc>
        <w:tc>
          <w:tcPr>
            <w:tcW w:type="dxa" w:w="7200"/>
            <w:shd w:fill="D9E2F3" w:color="auto" w:val="clear"/>
            <w:vAlign w:val="center"/>
          </w:tcPr>
          <w:p>
            <w:pPr>
              <w:spacing w:after="40" w:before="40"/>
              <w:jc w:val="left"/>
            </w:pPr>
            <w:r>
              <w:rPr>
                <w:rFonts w:ascii="Calibri" w:cs="Calibri" w:eastAsia="Calibri" w:hAnsi="Calibri"/>
                <w:b/>
                <w:bCs/>
                <w:sz w:val="20"/>
                <w:szCs w:val="20"/>
              </w:rPr>
              <w:t xml:space="preserve">Purpose</w:t>
            </w:r>
          </w:p>
        </w:tc>
      </w:tr>
      <w:tr>
        <w:tc>
          <w:tcPr>
            <w:tcW w:type="dxa" w:w="2400"/>
            <w:vAlign w:val="center"/>
          </w:tcPr>
          <w:p>
            <w:pPr>
              <w:spacing w:after="40" w:before="40"/>
              <w:jc w:val="left"/>
            </w:pPr>
            <w:r>
              <w:rPr>
                <w:rFonts w:ascii="Calibri" w:cs="Calibri" w:eastAsia="Calibri" w:hAnsi="Calibri"/>
                <w:b w:val="false"/>
                <w:bCs w:val="false"/>
                <w:sz w:val="20"/>
                <w:szCs w:val="20"/>
              </w:rPr>
              <w:t xml:space="preserve">01_import.sas</w:t>
            </w:r>
          </w:p>
        </w:tc>
        <w:tc>
          <w:tcPr>
            <w:tcW w:type="dxa" w:w="7200"/>
            <w:vAlign w:val="center"/>
          </w:tcPr>
          <w:p>
            <w:pPr>
              <w:spacing w:after="40" w:before="40"/>
              <w:jc w:val="left"/>
            </w:pPr>
            <w:r>
              <w:rPr>
                <w:rFonts w:ascii="Calibri" w:cs="Calibri" w:eastAsia="Calibri" w:hAnsi="Calibri"/>
                <w:b w:val="false"/>
                <w:bCs w:val="false"/>
                <w:sz w:val="20"/>
                <w:szCs w:val="20"/>
              </w:rPr>
              <w:t xml:space="preserve">Import raw TSV export, convert variable types, exclude subtotals, create analysis dataset</w:t>
            </w:r>
          </w:p>
        </w:tc>
      </w:tr>
      <w:tr>
        <w:tc>
          <w:tcPr>
            <w:tcW w:type="dxa" w:w="2400"/>
            <w:vAlign w:val="center"/>
          </w:tcPr>
          <w:p>
            <w:pPr>
              <w:spacing w:after="40" w:before="40"/>
              <w:jc w:val="left"/>
            </w:pPr>
            <w:r>
              <w:rPr>
                <w:rFonts w:ascii="Calibri" w:cs="Calibri" w:eastAsia="Calibri" w:hAnsi="Calibri"/>
                <w:b w:val="false"/>
                <w:bCs w:val="false"/>
                <w:sz w:val="20"/>
                <w:szCs w:val="20"/>
              </w:rPr>
              <w:t xml:space="preserve">02_validate.sas</w:t>
            </w:r>
          </w:p>
        </w:tc>
        <w:tc>
          <w:tcPr>
            <w:tcW w:type="dxa" w:w="7200"/>
            <w:vAlign w:val="center"/>
          </w:tcPr>
          <w:p>
            <w:pPr>
              <w:spacing w:after="40" w:before="40"/>
              <w:jc w:val="left"/>
            </w:pPr>
            <w:r>
              <w:rPr>
                <w:rFonts w:ascii="Calibri" w:cs="Calibri" w:eastAsia="Calibri" w:hAnsi="Calibri"/>
                <w:b w:val="false"/>
                <w:bCs w:val="false"/>
                <w:sz w:val="20"/>
                <w:szCs w:val="20"/>
              </w:rPr>
              <w:t xml:space="preserve">Record count, duplicate, missing value, range, CI consistency, and rate recalculation checks</w:t>
            </w:r>
          </w:p>
        </w:tc>
      </w:tr>
      <w:tr>
        <w:tc>
          <w:tcPr>
            <w:tcW w:type="dxa" w:w="2400"/>
            <w:vAlign w:val="center"/>
          </w:tcPr>
          <w:p>
            <w:pPr>
              <w:spacing w:after="40" w:before="40"/>
              <w:jc w:val="left"/>
            </w:pPr>
            <w:r>
              <w:rPr>
                <w:rFonts w:ascii="Calibri" w:cs="Calibri" w:eastAsia="Calibri" w:hAnsi="Calibri"/>
                <w:b w:val="false"/>
                <w:bCs w:val="false"/>
                <w:sz w:val="20"/>
                <w:szCs w:val="20"/>
              </w:rPr>
              <w:t xml:space="preserve">03_analysis.sas</w:t>
            </w:r>
          </w:p>
        </w:tc>
        <w:tc>
          <w:tcPr>
            <w:tcW w:type="dxa" w:w="7200"/>
            <w:vAlign w:val="center"/>
          </w:tcPr>
          <w:p>
            <w:pPr>
              <w:spacing w:after="40" w:before="40"/>
              <w:jc w:val="left"/>
            </w:pPr>
            <w:r>
              <w:rPr>
                <w:rFonts w:ascii="Calibri" w:cs="Calibri" w:eastAsia="Calibri" w:hAnsi="Calibri"/>
                <w:b w:val="false"/>
                <w:bCs w:val="false"/>
                <w:sz w:val="20"/>
                <w:szCs w:val="20"/>
              </w:rPr>
              <w:t xml:space="preserve">Descriptive tables (PROC TABULATE), visualizations (PROC SGPLOT/SGPANEL), Poisson regression (PROC GENMOD)</w:t>
            </w:r>
          </w:p>
        </w:tc>
      </w:tr>
    </w:tbl>
    <w:p>
      <w:pPr>
        <w:spacing w:after="120"/>
      </w:pPr>
    </w:p>
    <w:p>
      <w:pPr>
        <w:spacing w:after="200"/>
      </w:pPr>
      <w:r>
        <w:rPr>
          <w:rFonts w:ascii="Calibri" w:cs="Calibri" w:eastAsia="Calibri" w:hAnsi="Calibri"/>
          <w:sz w:val="22"/>
          <w:szCs w:val="22"/>
        </w:rPr>
        <w:t xml:space="preserve">All programs are maintained under version control in a public GitHub repository. The raw data file, all SAS programs, and this report are available for review and reproduction. Programs should be executed in numeric order (01, 02, 03) within a single SAS session, as subsequent programs depend on datasets created by earlier steps.</w:t>
      </w:r>
    </w:p>
    <w:p>
      <w:pPr>
        <w:pStyle w:val="Heading1"/>
        <w:spacing w:after="120" w:before="240"/>
      </w:pPr>
      <w:r>
        <w:t xml:space="preserve">8. Environment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9E2F3" w:color="auto" w:val="clear"/>
            <w:vAlign w:val="center"/>
          </w:tcPr>
          <w:p>
            <w:pPr>
              <w:spacing w:after="40" w:before="40"/>
              <w:jc w:val="left"/>
            </w:pPr>
            <w:r>
              <w:rPr>
                <w:rFonts w:ascii="Calibri" w:cs="Calibri" w:eastAsia="Calibri" w:hAnsi="Calibri"/>
                <w:b/>
                <w:bCs/>
                <w:sz w:val="20"/>
                <w:szCs w:val="20"/>
              </w:rPr>
              <w:t xml:space="preserve">Component</w:t>
            </w:r>
          </w:p>
        </w:tc>
        <w:tc>
          <w:tcPr>
            <w:tcW w:type="dxa" w:w="6400"/>
            <w:shd w:fill="D9E2F3" w:color="auto" w:val="clear"/>
            <w:vAlign w:val="center"/>
          </w:tcPr>
          <w:p>
            <w:pPr>
              <w:spacing w:after="40" w:before="40"/>
              <w:jc w:val="left"/>
            </w:pPr>
            <w:r>
              <w:rPr>
                <w:rFonts w:ascii="Calibri" w:cs="Calibri" w:eastAsia="Calibri" w:hAnsi="Calibri"/>
                <w:b w:val="false"/>
                <w:bCs w:val="false"/>
                <w:sz w:val="20"/>
                <w:szCs w:val="20"/>
              </w:rPr>
              <w:t xml:space="preserve">Version</w:t>
            </w:r>
          </w:p>
        </w:tc>
      </w:tr>
      <w:tr>
        <w:tc>
          <w:tcPr>
            <w:tcW w:type="dxa" w:w="3200"/>
            <w:vAlign w:val="center"/>
          </w:tcPr>
          <w:p>
            <w:pPr>
              <w:spacing w:after="40" w:before="40"/>
              <w:jc w:val="left"/>
            </w:pPr>
            <w:r>
              <w:rPr>
                <w:rFonts w:ascii="Calibri" w:cs="Calibri" w:eastAsia="Calibri" w:hAnsi="Calibri"/>
                <w:b/>
                <w:bCs/>
                <w:sz w:val="20"/>
                <w:szCs w:val="20"/>
              </w:rPr>
              <w:t xml:space="preserve">SAS</w:t>
            </w:r>
          </w:p>
        </w:tc>
        <w:tc>
          <w:tcPr>
            <w:tcW w:type="dxa" w:w="6400"/>
            <w:vAlign w:val="center"/>
          </w:tcPr>
          <w:p>
            <w:pPr>
              <w:spacing w:after="40" w:before="40"/>
              <w:jc w:val="left"/>
            </w:pPr>
            <w:r>
              <w:rPr>
                <w:rFonts w:ascii="Calibri" w:cs="Calibri" w:eastAsia="Calibri" w:hAnsi="Calibri"/>
                <w:b w:val="false"/>
                <w:bCs w:val="false"/>
                <w:sz w:val="20"/>
                <w:szCs w:val="20"/>
              </w:rPr>
              <w:t xml:space="preserve">SAS OnDemand for Academics (SAS Studio)</w:t>
            </w:r>
          </w:p>
        </w:tc>
      </w:tr>
      <w:tr>
        <w:tc>
          <w:tcPr>
            <w:tcW w:type="dxa" w:w="3200"/>
            <w:vAlign w:val="center"/>
          </w:tcPr>
          <w:p>
            <w:pPr>
              <w:spacing w:after="40" w:before="40"/>
              <w:jc w:val="left"/>
            </w:pPr>
            <w:r>
              <w:rPr>
                <w:rFonts w:ascii="Calibri" w:cs="Calibri" w:eastAsia="Calibri" w:hAnsi="Calibri"/>
                <w:b/>
                <w:bCs/>
                <w:sz w:val="20"/>
                <w:szCs w:val="20"/>
              </w:rPr>
              <w:t xml:space="preserve">Operating System</w:t>
            </w:r>
          </w:p>
        </w:tc>
        <w:tc>
          <w:tcPr>
            <w:tcW w:type="dxa" w:w="6400"/>
            <w:vAlign w:val="center"/>
          </w:tcPr>
          <w:p>
            <w:pPr>
              <w:spacing w:after="40" w:before="40"/>
              <w:jc w:val="left"/>
            </w:pPr>
            <w:r>
              <w:rPr>
                <w:rFonts w:ascii="Calibri" w:cs="Calibri" w:eastAsia="Calibri" w:hAnsi="Calibri"/>
                <w:b w:val="false"/>
                <w:bCs w:val="false"/>
                <w:sz w:val="20"/>
                <w:szCs w:val="20"/>
              </w:rPr>
              <w:t xml:space="preserve">Server-hosted (Linux)</w:t>
            </w:r>
          </w:p>
        </w:tc>
      </w:tr>
      <w:tr>
        <w:tc>
          <w:tcPr>
            <w:tcW w:type="dxa" w:w="3200"/>
            <w:vAlign w:val="center"/>
          </w:tcPr>
          <w:p>
            <w:pPr>
              <w:spacing w:after="40" w:before="40"/>
              <w:jc w:val="left"/>
            </w:pPr>
            <w:r>
              <w:rPr>
                <w:rFonts w:ascii="Calibri" w:cs="Calibri" w:eastAsia="Calibri" w:hAnsi="Calibri"/>
                <w:b/>
                <w:bCs/>
                <w:sz w:val="20"/>
                <w:szCs w:val="20"/>
              </w:rPr>
              <w:t xml:space="preserve">Version Control</w:t>
            </w:r>
          </w:p>
        </w:tc>
        <w:tc>
          <w:tcPr>
            <w:tcW w:type="dxa" w:w="6400"/>
            <w:vAlign w:val="center"/>
          </w:tcPr>
          <w:p>
            <w:pPr>
              <w:spacing w:after="40" w:before="40"/>
              <w:jc w:val="left"/>
            </w:pPr>
            <w:r>
              <w:rPr>
                <w:rFonts w:ascii="Calibri" w:cs="Calibri" w:eastAsia="Calibri" w:hAnsi="Calibri"/>
                <w:b w:val="false"/>
                <w:bCs w:val="false"/>
                <w:sz w:val="20"/>
                <w:szCs w:val="20"/>
              </w:rPr>
              <w:t xml:space="preserve">Git / GitHub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CDC WONDER Heart Disease Mortality Disparities — Statistical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2026-09-16T13:55:22.303Z</dcterms:created>
  <dcterms:modified xsi:type="dcterms:W3CDTF">2026-09-16T13:55:22.313Z</dcterms:modified>
</cp:coreProperties>
</file>

<file path=docProps/custom.xml><?xml version="1.0" encoding="utf-8"?>
<Properties xmlns="http://schemas.openxmlformats.org/officeDocument/2006/custom-properties" xmlns:vt="http://schemas.openxmlformats.org/officeDocument/2006/docPropsVTypes"/>
</file>