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Lora" w:cs="Lora" w:eastAsia="Lora" w:hAnsi="Lora"/>
          <w:sz w:val="28"/>
          <w:szCs w:val="28"/>
        </w:rPr>
      </w:pPr>
      <w:r w:rsidDel="00000000" w:rsidR="00000000" w:rsidRPr="00000000">
        <w:rPr>
          <w:rFonts w:ascii="Lora" w:cs="Lora" w:eastAsia="Lora" w:hAnsi="Lora"/>
          <w:sz w:val="28"/>
          <w:szCs w:val="28"/>
          <w:rtl w:val="0"/>
        </w:rPr>
        <w:t xml:space="preserve">Universidad de Monterrey</w:t>
      </w:r>
    </w:p>
    <w:p w:rsidR="00000000" w:rsidDel="00000000" w:rsidP="00000000" w:rsidRDefault="00000000" w:rsidRPr="00000000" w14:paraId="00000002">
      <w:pPr>
        <w:spacing w:line="360" w:lineRule="auto"/>
        <w:jc w:val="center"/>
        <w:rPr>
          <w:rFonts w:ascii="Lora" w:cs="Lora" w:eastAsia="Lora" w:hAnsi="Lora"/>
          <w:sz w:val="32"/>
          <w:szCs w:val="32"/>
        </w:rPr>
      </w:pPr>
      <w:r w:rsidDel="00000000" w:rsidR="00000000" w:rsidRPr="00000000">
        <w:rPr>
          <w:rFonts w:ascii="Lora" w:cs="Lora" w:eastAsia="Lora" w:hAnsi="Lora"/>
          <w:sz w:val="32"/>
          <w:szCs w:val="32"/>
        </w:rPr>
        <w:drawing>
          <wp:inline distB="114300" distT="114300" distL="114300" distR="114300">
            <wp:extent cx="1987387" cy="19873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7387" cy="19873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04">
      <w:pPr>
        <w:spacing w:line="360" w:lineRule="auto"/>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05">
      <w:pPr>
        <w:spacing w:line="360" w:lineRule="auto"/>
        <w:jc w:val="cente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Investigación 01</w:t>
      </w:r>
    </w:p>
    <w:p w:rsidR="00000000" w:rsidDel="00000000" w:rsidP="00000000" w:rsidRDefault="00000000" w:rsidRPr="00000000" w14:paraId="00000006">
      <w:pPr>
        <w:spacing w:line="360" w:lineRule="auto"/>
        <w:jc w:val="center"/>
        <w:rPr>
          <w:rFonts w:ascii="Lora" w:cs="Lora" w:eastAsia="Lora" w:hAnsi="Lora"/>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 </w:t>
      </w:r>
      <w:r w:rsidDel="00000000" w:rsidR="00000000" w:rsidRPr="00000000">
        <w:rPr>
          <w:rFonts w:ascii="Lora" w:cs="Lora" w:eastAsia="Lora" w:hAnsi="Lora"/>
          <w:sz w:val="28"/>
          <w:szCs w:val="28"/>
          <w:rtl w:val="0"/>
        </w:rPr>
        <w:t xml:space="preserve">Alejandra Morón Rodríguez </w:t>
        <w:tab/>
      </w:r>
      <w:r w:rsidDel="00000000" w:rsidR="00000000" w:rsidRPr="00000000">
        <w:rPr>
          <w:rFonts w:ascii="Lora" w:cs="Lora" w:eastAsia="Lora" w:hAnsi="Lora"/>
          <w:b w:val="1"/>
          <w:bCs w:val="1"/>
          <w:sz w:val="28"/>
          <w:szCs w:val="28"/>
          <w:rtl w:val="0"/>
        </w:rPr>
        <w:t xml:space="preserve">Matrícula: </w:t>
      </w:r>
      <w:r w:rsidDel="00000000" w:rsidR="00000000" w:rsidRPr="00000000">
        <w:rPr>
          <w:rFonts w:ascii="Lora" w:cs="Lora" w:eastAsia="Lora" w:hAnsi="Lora"/>
          <w:sz w:val="28"/>
          <w:szCs w:val="28"/>
          <w:rtl w:val="0"/>
        </w:rPr>
        <w:t xml:space="preserve">587823</w:t>
      </w:r>
    </w:p>
    <w:p w:rsidR="00000000" w:rsidDel="00000000" w:rsidP="00000000" w:rsidRDefault="00000000" w:rsidRPr="00000000" w14:paraId="00000008">
      <w:pPr>
        <w:spacing w:line="360" w:lineRule="auto"/>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w:t>
      </w:r>
      <w:r w:rsidDel="00000000" w:rsidR="00000000" w:rsidRPr="00000000">
        <w:rPr>
          <w:rFonts w:ascii="Lora" w:cs="Lora" w:eastAsia="Lora" w:hAnsi="Lora"/>
          <w:sz w:val="28"/>
          <w:szCs w:val="28"/>
          <w:rtl w:val="0"/>
        </w:rPr>
        <w:t xml:space="preserve"> Mauro Castillo Peña </w:t>
        <w:tab/>
        <w:tab/>
      </w:r>
      <w:r w:rsidDel="00000000" w:rsidR="00000000" w:rsidRPr="00000000">
        <w:rPr>
          <w:rFonts w:ascii="Lora" w:cs="Lora" w:eastAsia="Lora" w:hAnsi="Lora"/>
          <w:b w:val="1"/>
          <w:bCs w:val="1"/>
          <w:sz w:val="28"/>
          <w:szCs w:val="28"/>
          <w:rtl w:val="0"/>
        </w:rPr>
        <w:t xml:space="preserve">Matrícula: </w:t>
      </w:r>
      <w:r w:rsidDel="00000000" w:rsidR="00000000" w:rsidRPr="00000000">
        <w:rPr>
          <w:rFonts w:ascii="Lora" w:cs="Lora" w:eastAsia="Lora" w:hAnsi="Lora"/>
          <w:sz w:val="28"/>
          <w:szCs w:val="28"/>
          <w:rtl w:val="0"/>
        </w:rPr>
        <w:t xml:space="preserve">613512</w:t>
      </w:r>
    </w:p>
    <w:p w:rsidR="00000000" w:rsidDel="00000000" w:rsidP="00000000" w:rsidRDefault="00000000" w:rsidRPr="00000000" w14:paraId="00000009">
      <w:pPr>
        <w:spacing w:line="360" w:lineRule="auto"/>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 </w:t>
      </w:r>
      <w:r w:rsidDel="00000000" w:rsidR="00000000" w:rsidRPr="00000000">
        <w:rPr>
          <w:rFonts w:ascii="Lora" w:cs="Lora" w:eastAsia="Lora" w:hAnsi="Lora"/>
          <w:sz w:val="28"/>
          <w:szCs w:val="28"/>
          <w:rtl w:val="0"/>
        </w:rPr>
        <w:t xml:space="preserve">Maria José Cedillo Mata</w:t>
      </w:r>
      <w:r w:rsidDel="00000000" w:rsidR="00000000" w:rsidRPr="00000000">
        <w:rPr>
          <w:rFonts w:ascii="Lora" w:cs="Lora" w:eastAsia="Lora" w:hAnsi="Lora"/>
          <w:b w:val="1"/>
          <w:bCs w:val="1"/>
          <w:sz w:val="28"/>
          <w:szCs w:val="28"/>
          <w:rtl w:val="0"/>
        </w:rPr>
        <w:t xml:space="preserve"> </w:t>
        <w:tab/>
        <w:t xml:space="preserve">Matrícula: </w:t>
      </w:r>
      <w:r w:rsidDel="00000000" w:rsidR="00000000" w:rsidRPr="00000000">
        <w:rPr>
          <w:rFonts w:ascii="Lora" w:cs="Lora" w:eastAsia="Lora" w:hAnsi="Lora"/>
          <w:sz w:val="28"/>
          <w:szCs w:val="28"/>
          <w:rtl w:val="0"/>
        </w:rPr>
        <w:t xml:space="preserve">610256</w:t>
      </w:r>
    </w:p>
    <w:p w:rsidR="00000000" w:rsidDel="00000000" w:rsidP="00000000" w:rsidRDefault="00000000" w:rsidRPr="00000000" w14:paraId="0000000A">
      <w:pPr>
        <w:spacing w:line="360" w:lineRule="auto"/>
        <w:jc w:val="both"/>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Nombre: </w:t>
      </w:r>
      <w:r w:rsidDel="00000000" w:rsidR="00000000" w:rsidRPr="00000000">
        <w:rPr>
          <w:rFonts w:ascii="Lora" w:cs="Lora" w:eastAsia="Lora" w:hAnsi="Lora"/>
          <w:sz w:val="28"/>
          <w:szCs w:val="28"/>
          <w:rtl w:val="0"/>
        </w:rPr>
        <w:t xml:space="preserve">Vanessa Morante López</w:t>
      </w:r>
      <w:r w:rsidDel="00000000" w:rsidR="00000000" w:rsidRPr="00000000">
        <w:rPr>
          <w:rFonts w:ascii="Lora" w:cs="Lora" w:eastAsia="Lora" w:hAnsi="Lora"/>
          <w:b w:val="1"/>
          <w:bCs w:val="1"/>
          <w:sz w:val="28"/>
          <w:szCs w:val="28"/>
          <w:rtl w:val="0"/>
        </w:rPr>
        <w:t xml:space="preserve"> </w:t>
        <w:tab/>
        <w:t xml:space="preserve">Matrícula: </w:t>
      </w:r>
      <w:r w:rsidDel="00000000" w:rsidR="00000000" w:rsidRPr="00000000">
        <w:rPr>
          <w:rFonts w:ascii="Lora" w:cs="Lora" w:eastAsia="Lora" w:hAnsi="Lora"/>
          <w:sz w:val="28"/>
          <w:szCs w:val="28"/>
          <w:rtl w:val="0"/>
        </w:rPr>
        <w:t xml:space="preserve">654008</w:t>
      </w:r>
      <w:r w:rsidDel="00000000" w:rsidR="00000000" w:rsidRPr="00000000">
        <w:rPr>
          <w:rtl w:val="0"/>
        </w:rPr>
      </w:r>
    </w:p>
    <w:p w:rsidR="00000000" w:rsidDel="00000000" w:rsidP="00000000" w:rsidRDefault="00000000" w:rsidRPr="00000000" w14:paraId="0000000B">
      <w:pPr>
        <w:spacing w:line="360" w:lineRule="auto"/>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0C">
      <w:pPr>
        <w:spacing w:line="360" w:lineRule="auto"/>
        <w:jc w:val="both"/>
        <w:rPr>
          <w:rFonts w:ascii="Lora" w:cs="Lora" w:eastAsia="Lora" w:hAnsi="Lora"/>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Docente:</w:t>
      </w:r>
      <w:r w:rsidDel="00000000" w:rsidR="00000000" w:rsidRPr="00000000">
        <w:rPr>
          <w:rFonts w:ascii="Lora" w:cs="Lora" w:eastAsia="Lora" w:hAnsi="Lora"/>
          <w:sz w:val="28"/>
          <w:szCs w:val="28"/>
          <w:rtl w:val="0"/>
        </w:rPr>
        <w:t xml:space="preserve"> </w:t>
      </w:r>
      <w:hyperlink r:id="rId7">
        <w:r w:rsidDel="00000000" w:rsidR="00000000" w:rsidRPr="00000000">
          <w:rPr>
            <w:rFonts w:ascii="Lora" w:cs="Lora" w:eastAsia="Lora" w:hAnsi="Lora"/>
            <w:color w:val="0000ee"/>
            <w:sz w:val="28"/>
            <w:szCs w:val="28"/>
            <w:u w:val="single"/>
            <w:rtl w:val="0"/>
          </w:rPr>
          <w:t xml:space="preserve">Eduardo Emmanuel Rodríguez López</w:t>
        </w:r>
      </w:hyperlink>
      <w:r w:rsidDel="00000000" w:rsidR="00000000" w:rsidRPr="00000000">
        <w:rPr>
          <w:rtl w:val="0"/>
        </w:rPr>
      </w:r>
    </w:p>
    <w:p w:rsidR="00000000" w:rsidDel="00000000" w:rsidP="00000000" w:rsidRDefault="00000000" w:rsidRPr="00000000" w14:paraId="0000000F">
      <w:pPr>
        <w:spacing w:line="360" w:lineRule="auto"/>
        <w:jc w:val="center"/>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Materia:</w:t>
      </w:r>
      <w:r w:rsidDel="00000000" w:rsidR="00000000" w:rsidRPr="00000000">
        <w:rPr>
          <w:rFonts w:ascii="Lora" w:cs="Lora" w:eastAsia="Lora" w:hAnsi="Lora"/>
          <w:sz w:val="28"/>
          <w:szCs w:val="28"/>
          <w:rtl w:val="0"/>
        </w:rPr>
        <w:t xml:space="preserve"> PAP de ITC</w:t>
      </w:r>
    </w:p>
    <w:p w:rsidR="00000000" w:rsidDel="00000000" w:rsidP="00000000" w:rsidRDefault="00000000" w:rsidRPr="00000000" w14:paraId="00000010">
      <w:pPr>
        <w:spacing w:line="360" w:lineRule="auto"/>
        <w:jc w:val="center"/>
        <w:rPr>
          <w:rFonts w:ascii="Lora" w:cs="Lora" w:eastAsia="Lora" w:hAnsi="Lora"/>
          <w:b w:val="1"/>
          <w:bCs w:val="1"/>
        </w:rPr>
      </w:pPr>
      <w:r w:rsidDel="00000000" w:rsidR="00000000" w:rsidRPr="00000000">
        <w:rPr>
          <w:rFonts w:ascii="Lora" w:cs="Lora" w:eastAsia="Lora" w:hAnsi="Lora"/>
          <w:b w:val="1"/>
          <w:bCs w:val="1"/>
          <w:sz w:val="28"/>
          <w:szCs w:val="28"/>
          <w:rtl w:val="0"/>
        </w:rPr>
        <w:t xml:space="preserve">Fecha:</w:t>
      </w:r>
      <w:r w:rsidDel="00000000" w:rsidR="00000000" w:rsidRPr="00000000">
        <w:rPr>
          <w:rFonts w:ascii="Lora" w:cs="Lora" w:eastAsia="Lora" w:hAnsi="Lora"/>
          <w:sz w:val="28"/>
          <w:szCs w:val="28"/>
          <w:rtl w:val="0"/>
        </w:rPr>
        <w:t xml:space="preserve"> 08 de agosto del 2026</w:t>
      </w:r>
      <w:r w:rsidDel="00000000" w:rsidR="00000000" w:rsidRPr="00000000">
        <w:rPr>
          <w:rtl w:val="0"/>
        </w:rPr>
      </w:r>
    </w:p>
    <w:p w:rsidR="00000000" w:rsidDel="00000000" w:rsidP="00000000" w:rsidRDefault="00000000" w:rsidRPr="00000000" w14:paraId="00000011">
      <w:pPr>
        <w:rPr>
          <w:rFonts w:ascii="Lora" w:cs="Lora" w:eastAsia="Lora" w:hAnsi="Lora"/>
        </w:rPr>
      </w:pPr>
      <w:r w:rsidDel="00000000" w:rsidR="00000000" w:rsidRPr="00000000">
        <w:rPr>
          <w:rtl w:val="0"/>
        </w:rPr>
      </w:r>
    </w:p>
    <w:p w:rsidR="00000000" w:rsidDel="00000000" w:rsidP="00000000" w:rsidRDefault="00000000" w:rsidRPr="00000000" w14:paraId="00000012">
      <w:pPr>
        <w:rPr>
          <w:rFonts w:ascii="Lora" w:cs="Lora" w:eastAsia="Lora" w:hAnsi="Lora"/>
        </w:rPr>
      </w:pPr>
      <w:r w:rsidDel="00000000" w:rsidR="00000000" w:rsidRPr="00000000">
        <w:rPr>
          <w:rtl w:val="0"/>
        </w:rPr>
      </w:r>
    </w:p>
    <w:p w:rsidR="00000000" w:rsidDel="00000000" w:rsidP="00000000" w:rsidRDefault="00000000" w:rsidRPr="00000000" w14:paraId="00000013">
      <w:pPr>
        <w:rPr>
          <w:rFonts w:ascii="Lora" w:cs="Lora" w:eastAsia="Lora" w:hAnsi="Lora"/>
        </w:rPr>
      </w:pPr>
      <w:r w:rsidDel="00000000" w:rsidR="00000000" w:rsidRPr="00000000">
        <w:rPr>
          <w:rtl w:val="0"/>
        </w:rPr>
      </w:r>
    </w:p>
    <w:p w:rsidR="00000000" w:rsidDel="00000000" w:rsidP="00000000" w:rsidRDefault="00000000" w:rsidRPr="00000000" w14:paraId="00000014">
      <w:pPr>
        <w:jc w:val="center"/>
        <w:rPr>
          <w:rFonts w:ascii="Lora" w:cs="Lora" w:eastAsia="Lora" w:hAnsi="Lora"/>
          <w:sz w:val="28"/>
          <w:szCs w:val="28"/>
        </w:rPr>
      </w:pPr>
      <w:r w:rsidDel="00000000" w:rsidR="00000000" w:rsidRPr="00000000">
        <w:rPr>
          <w:rFonts w:ascii="Lora" w:cs="Lora" w:eastAsia="Lora" w:hAnsi="Lora"/>
          <w:sz w:val="28"/>
          <w:szCs w:val="28"/>
          <w:rtl w:val="0"/>
        </w:rPr>
        <w:t xml:space="preserve">“Hemos realizado está actividad con integridad académica”</w:t>
      </w:r>
    </w:p>
    <w:p w:rsidR="00000000" w:rsidDel="00000000" w:rsidP="00000000" w:rsidRDefault="00000000" w:rsidRPr="00000000" w14:paraId="00000015">
      <w:pPr>
        <w:pStyle w:val="Heading2"/>
        <w:rPr/>
      </w:pPr>
      <w:bookmarkStart w:colFirst="0" w:colLast="0" w:name="_5bg9ro7bqvvl" w:id="0"/>
      <w:bookmarkEnd w:id="0"/>
      <w:r w:rsidDel="00000000" w:rsidR="00000000" w:rsidRPr="00000000">
        <w:rPr>
          <w:rtl w:val="0"/>
        </w:rPr>
      </w:r>
    </w:p>
    <w:p w:rsidR="00000000" w:rsidDel="00000000" w:rsidP="00000000" w:rsidRDefault="00000000" w:rsidRPr="00000000" w14:paraId="00000016">
      <w:pPr>
        <w:pStyle w:val="Heading2"/>
        <w:rPr/>
      </w:pPr>
      <w:bookmarkStart w:colFirst="0" w:colLast="0" w:name="_pyf2gpc2c18r" w:id="1"/>
      <w:bookmarkEnd w:id="1"/>
      <w:r w:rsidDel="00000000" w:rsidR="00000000" w:rsidRPr="00000000">
        <w:rPr>
          <w:rtl w:val="0"/>
        </w:rPr>
        <w:t xml:space="preserve">Índice</w:t>
      </w:r>
    </w:p>
    <w:sdt>
      <w:sdtPr>
        <w:id w:val="-161693254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yf2gpc2c1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4ahbgj7w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t65h31gzx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Eye Tracking</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23ae3gqz5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Movimientos Sacaricos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vjjahkyou0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Fijaciones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exz1giauw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para medir experiencias de usuario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hepu2uk3vq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Open Source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2hw4y1gopi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5la16s8ttw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2"/>
        <w:rPr/>
      </w:pPr>
      <w:bookmarkStart w:colFirst="0" w:colLast="0" w:name="_ickqp3xsi6o"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jc w:val="both"/>
        <w:rPr/>
      </w:pPr>
      <w:bookmarkStart w:colFirst="0" w:colLast="0" w:name="_oe4ahbgj7whb" w:id="3"/>
      <w:bookmarkEnd w:id="3"/>
      <w:r w:rsidDel="00000000" w:rsidR="00000000" w:rsidRPr="00000000">
        <w:rPr>
          <w:rtl w:val="0"/>
        </w:rPr>
        <w:t xml:space="preserve">Introducción</w:t>
      </w:r>
    </w:p>
    <w:p w:rsidR="00000000" w:rsidDel="00000000" w:rsidP="00000000" w:rsidRDefault="00000000" w:rsidRPr="00000000" w14:paraId="0000003C">
      <w:pPr>
        <w:jc w:val="both"/>
        <w:rPr/>
      </w:pPr>
      <w:r w:rsidDel="00000000" w:rsidR="00000000" w:rsidRPr="00000000">
        <w:rPr>
          <w:rtl w:val="0"/>
        </w:rPr>
        <w:t xml:space="preserve">Para este ensayo se investigará acerca de eye tracking y conceptos relacionados a ello. El objetivo es lograr una mejor comprensión del funcionamiento de la herramienta y su aportación a investigaciones científicas y/o tecnológicas. Asimismo, será de importancia identificar posibles herramientas de open source que hagan el eye tracking accesibles para la comunidad. Una vez realizado este ensayo, será posible continuar con nuestro proyecto de análisis de interfaces con eye tracking al adquirir un conocimiento adecuado de la herramienta a emplear para ello.</w:t>
      </w:r>
    </w:p>
    <w:p w:rsidR="00000000" w:rsidDel="00000000" w:rsidP="00000000" w:rsidRDefault="00000000" w:rsidRPr="00000000" w14:paraId="0000003D">
      <w:pPr>
        <w:pStyle w:val="Heading2"/>
        <w:jc w:val="both"/>
        <w:rPr/>
      </w:pPr>
      <w:bookmarkStart w:colFirst="0" w:colLast="0" w:name="_jt65h31gzxax" w:id="4"/>
      <w:bookmarkEnd w:id="4"/>
      <w:r w:rsidDel="00000000" w:rsidR="00000000" w:rsidRPr="00000000">
        <w:rPr>
          <w:rtl w:val="0"/>
        </w:rPr>
        <w:t xml:space="preserve">Eye Tracking</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El eye tracking o seguimiento ocular es una tecnología o herramienta que permite el registro y análisis de los movimientos de los ojos de una persona mientras observa algún estímulo visual, esto mediante dispositivos especializados nombrados eye trackers, es posible determinar hacia dónde se dirige la mirada del usuario, cuánto tiempo permanece observando tal elemento y cual es la secuencia durante la exploracion visual (ESIC Business &amp; Marketing School, 2025). Está técnica o tecnología puede utilizar cámaras, sensores infrarrojos, gafas especializadas o incluso cámaras web para estimar o predecir la dirección de la mirada.</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El eye tracking se utiliza en distintas áreas como lo son la psicología, la neurociencia, la medicina, la investigación de mercados y en el diseño gráfico y de interfaces, en este campo se permite conocer cómo los usuarios perciben y procesan de manera visual una página web, una app, anuncios o cualquier otro estímulo visual similar. Guerrero Salinas (2023) señala que esta técnica o tecnología puede emplear se para estudiar aspectos como la percepción de la forma, la legibilidad, la organización de la información y la usabilidad de una interfaz.</w:t>
      </w:r>
    </w:p>
    <w:p w:rsidR="00000000" w:rsidDel="00000000" w:rsidP="00000000" w:rsidRDefault="00000000" w:rsidRPr="00000000" w14:paraId="00000041">
      <w:pPr>
        <w:pStyle w:val="Heading2"/>
        <w:jc w:val="both"/>
        <w:rPr/>
      </w:pPr>
      <w:bookmarkStart w:colFirst="0" w:colLast="0" w:name="_3z23ae3gqz5j" w:id="5"/>
      <w:bookmarkEnd w:id="5"/>
      <w:r w:rsidDel="00000000" w:rsidR="00000000" w:rsidRPr="00000000">
        <w:rPr>
          <w:rtl w:val="0"/>
        </w:rPr>
        <w:t xml:space="preserve">Movimientos Sacaricos</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Para lograr una mejor comprensión del funcionamiento del eye tracking, es necesario comprender también los movimientos oculares que detecta y su finalidad. En el caso de los movimientos sacáridos, se considera que presentan información sobre el proceso de toma de decisiones, revelando procesos cognitivos. (Miseviciute L., s.f.)</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De acuerdo a Montagud N. (2019), los movimientos sacádicos se caracterizan como aquellos que realizan ambos ojos de manera simultánea y veloz al observar un mismo punto. Gracias a estos movimientos se puede escanear los alrededores, recolectar datos y construir un mapa tridimensional mental del espacio. Los movimientos son controlados a nivel cortical por los campos oculares frontales y subcorticalmente por el colículo superior.</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El estudio de movimientos sacádicos se ha probado de utilidad en campos de investigación, esto al demostrar que una función deficiente de ellos estaría ligada a los procesos cognitivos y visuales del individuo. Actualmente, hay un incremento del uso de dispositivos de eye-tracking en herramientas de </w:t>
      </w:r>
      <w:r w:rsidDel="00000000" w:rsidR="00000000" w:rsidRPr="00000000">
        <w:rPr>
          <w:sz w:val="24"/>
          <w:szCs w:val="24"/>
          <w:rtl w:val="0"/>
        </w:rPr>
        <w:t xml:space="preserve">estudio y/o diagnóstico neurológico. Se considera que aumenta la necesidad de validar los algoritmos actuales y si estos movimientos son realmente válidos para tomar en cuenta al tratar de comprender déficits funcionales en el desarrollo de diferentes tareas cotidianas (Stuart S. 2019).</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Algunas de sus características son:</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numPr>
          <w:ilvl w:val="0"/>
          <w:numId w:val="2"/>
        </w:numPr>
        <w:ind w:left="720" w:hanging="360"/>
        <w:jc w:val="both"/>
        <w:rPr>
          <w:sz w:val="24"/>
          <w:szCs w:val="24"/>
          <w:u w:val="none"/>
        </w:rPr>
      </w:pPr>
      <w:r w:rsidDel="00000000" w:rsidR="00000000" w:rsidRPr="00000000">
        <w:rPr>
          <w:sz w:val="24"/>
          <w:szCs w:val="24"/>
          <w:rtl w:val="0"/>
        </w:rPr>
        <w:t xml:space="preserve">Pueden ocurrir voluntaria o involuntariamente.</w:t>
      </w:r>
    </w:p>
    <w:p w:rsidR="00000000" w:rsidDel="00000000" w:rsidP="00000000" w:rsidRDefault="00000000" w:rsidRPr="00000000" w14:paraId="0000004B">
      <w:pPr>
        <w:numPr>
          <w:ilvl w:val="0"/>
          <w:numId w:val="2"/>
        </w:numPr>
        <w:ind w:left="720" w:hanging="360"/>
        <w:jc w:val="both"/>
        <w:rPr>
          <w:sz w:val="24"/>
          <w:szCs w:val="24"/>
          <w:u w:val="none"/>
        </w:rPr>
      </w:pPr>
      <w:r w:rsidDel="00000000" w:rsidR="00000000" w:rsidRPr="00000000">
        <w:rPr>
          <w:sz w:val="24"/>
          <w:szCs w:val="24"/>
          <w:rtl w:val="0"/>
        </w:rPr>
        <w:t xml:space="preserve">Mirada binocular y conjugada.</w:t>
      </w:r>
    </w:p>
    <w:p w:rsidR="00000000" w:rsidDel="00000000" w:rsidP="00000000" w:rsidRDefault="00000000" w:rsidRPr="00000000" w14:paraId="0000004C">
      <w:pPr>
        <w:numPr>
          <w:ilvl w:val="0"/>
          <w:numId w:val="2"/>
        </w:numPr>
        <w:ind w:left="720" w:hanging="360"/>
        <w:jc w:val="both"/>
        <w:rPr>
          <w:sz w:val="24"/>
          <w:szCs w:val="24"/>
          <w:u w:val="none"/>
        </w:rPr>
      </w:pPr>
      <w:r w:rsidDel="00000000" w:rsidR="00000000" w:rsidRPr="00000000">
        <w:rPr>
          <w:sz w:val="24"/>
          <w:szCs w:val="24"/>
          <w:rtl w:val="0"/>
        </w:rPr>
        <w:t xml:space="preserve">El tiempo para “planificar” una sacada depende de la tarea y puede variar entre 100 y 1000 ms.</w:t>
      </w:r>
    </w:p>
    <w:p w:rsidR="00000000" w:rsidDel="00000000" w:rsidP="00000000" w:rsidRDefault="00000000" w:rsidRPr="00000000" w14:paraId="0000004D">
      <w:pPr>
        <w:numPr>
          <w:ilvl w:val="0"/>
          <w:numId w:val="2"/>
        </w:numPr>
        <w:ind w:left="720" w:hanging="360"/>
        <w:jc w:val="both"/>
        <w:rPr>
          <w:sz w:val="24"/>
          <w:szCs w:val="24"/>
          <w:u w:val="none"/>
        </w:rPr>
      </w:pPr>
      <w:r w:rsidDel="00000000" w:rsidR="00000000" w:rsidRPr="00000000">
        <w:rPr>
          <w:sz w:val="24"/>
          <w:szCs w:val="24"/>
          <w:rtl w:val="0"/>
        </w:rPr>
        <w:t xml:space="preserve">La duración promedio es de 20 a 40 ms.</w:t>
      </w:r>
    </w:p>
    <w:p w:rsidR="00000000" w:rsidDel="00000000" w:rsidP="00000000" w:rsidRDefault="00000000" w:rsidRPr="00000000" w14:paraId="0000004E">
      <w:pPr>
        <w:numPr>
          <w:ilvl w:val="0"/>
          <w:numId w:val="2"/>
        </w:numPr>
        <w:ind w:left="720" w:hanging="360"/>
        <w:jc w:val="both"/>
        <w:rPr>
          <w:sz w:val="24"/>
          <w:szCs w:val="24"/>
          <w:u w:val="none"/>
        </w:rPr>
      </w:pPr>
      <w:r w:rsidDel="00000000" w:rsidR="00000000" w:rsidRPr="00000000">
        <w:rPr>
          <w:sz w:val="24"/>
          <w:szCs w:val="24"/>
          <w:rtl w:val="0"/>
        </w:rPr>
        <w:t xml:space="preserve">La duración y amplitud son linealmente correlacionadas, de modo que se producen duraciones más largas ante saltos más significativos.</w:t>
      </w:r>
    </w:p>
    <w:p w:rsidR="00000000" w:rsidDel="00000000" w:rsidP="00000000" w:rsidRDefault="00000000" w:rsidRPr="00000000" w14:paraId="0000004F">
      <w:pPr>
        <w:numPr>
          <w:ilvl w:val="0"/>
          <w:numId w:val="2"/>
        </w:numPr>
        <w:ind w:left="720" w:hanging="360"/>
        <w:jc w:val="both"/>
        <w:rPr>
          <w:sz w:val="24"/>
          <w:szCs w:val="24"/>
          <w:u w:val="none"/>
        </w:rPr>
      </w:pPr>
      <w:r w:rsidDel="00000000" w:rsidR="00000000" w:rsidRPr="00000000">
        <w:rPr>
          <w:sz w:val="24"/>
          <w:szCs w:val="24"/>
          <w:rtl w:val="0"/>
        </w:rPr>
        <w:t xml:space="preserve">No es posible modificar el punto final de una sacada mientras esta en ojo en movimiento.</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(Miseviciute L., s.f.)</w:t>
      </w:r>
      <w:r w:rsidDel="00000000" w:rsidR="00000000" w:rsidRPr="00000000">
        <w:rPr>
          <w:rtl w:val="0"/>
        </w:rPr>
      </w:r>
    </w:p>
    <w:p w:rsidR="00000000" w:rsidDel="00000000" w:rsidP="00000000" w:rsidRDefault="00000000" w:rsidRPr="00000000" w14:paraId="00000051">
      <w:pPr>
        <w:pStyle w:val="Heading2"/>
        <w:jc w:val="both"/>
        <w:rPr/>
      </w:pPr>
      <w:bookmarkStart w:colFirst="0" w:colLast="0" w:name="_evjjahkyou0q" w:id="6"/>
      <w:bookmarkEnd w:id="6"/>
      <w:r w:rsidDel="00000000" w:rsidR="00000000" w:rsidRPr="00000000">
        <w:rPr>
          <w:rtl w:val="0"/>
        </w:rPr>
        <w:t xml:space="preserve">Fijaciones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Algunas de sus características son:</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numPr>
          <w:ilvl w:val="0"/>
          <w:numId w:val="2"/>
        </w:numPr>
        <w:ind w:left="720" w:hanging="360"/>
        <w:jc w:val="both"/>
        <w:rPr>
          <w:sz w:val="24"/>
          <w:szCs w:val="24"/>
        </w:rPr>
      </w:pPr>
      <w:r w:rsidDel="00000000" w:rsidR="00000000" w:rsidRPr="00000000">
        <w:rPr>
          <w:sz w:val="24"/>
          <w:szCs w:val="24"/>
          <w:rtl w:val="0"/>
        </w:rPr>
        <w:t xml:space="preserve">Se componen por movimientos oculares más lentos y de menor escala que las sacadas. </w:t>
      </w:r>
    </w:p>
    <w:p w:rsidR="00000000" w:rsidDel="00000000" w:rsidP="00000000" w:rsidRDefault="00000000" w:rsidRPr="00000000" w14:paraId="00000056">
      <w:pPr>
        <w:numPr>
          <w:ilvl w:val="0"/>
          <w:numId w:val="2"/>
        </w:numPr>
        <w:ind w:left="720" w:hanging="360"/>
        <w:jc w:val="both"/>
        <w:rPr>
          <w:sz w:val="24"/>
          <w:szCs w:val="24"/>
        </w:rPr>
      </w:pPr>
      <w:r w:rsidDel="00000000" w:rsidR="00000000" w:rsidRPr="00000000">
        <w:rPr>
          <w:sz w:val="24"/>
          <w:szCs w:val="24"/>
          <w:rtl w:val="0"/>
        </w:rPr>
        <w:t xml:space="preserve">Ayudan al ojo a alinearse con su objetivo.</w:t>
      </w:r>
    </w:p>
    <w:p w:rsidR="00000000" w:rsidDel="00000000" w:rsidP="00000000" w:rsidRDefault="00000000" w:rsidRPr="00000000" w14:paraId="00000057">
      <w:pPr>
        <w:numPr>
          <w:ilvl w:val="0"/>
          <w:numId w:val="2"/>
        </w:numPr>
        <w:ind w:left="720" w:hanging="360"/>
        <w:jc w:val="both"/>
        <w:rPr>
          <w:sz w:val="24"/>
          <w:szCs w:val="24"/>
          <w:u w:val="none"/>
        </w:rPr>
      </w:pPr>
      <w:r w:rsidDel="00000000" w:rsidR="00000000" w:rsidRPr="00000000">
        <w:rPr>
          <w:sz w:val="24"/>
          <w:szCs w:val="24"/>
          <w:rtl w:val="0"/>
        </w:rPr>
        <w:t xml:space="preserve">Evitan el desvanecimiento perceptivo.</w:t>
      </w:r>
    </w:p>
    <w:p w:rsidR="00000000" w:rsidDel="00000000" w:rsidP="00000000" w:rsidRDefault="00000000" w:rsidRPr="00000000" w14:paraId="00000058">
      <w:pPr>
        <w:numPr>
          <w:ilvl w:val="0"/>
          <w:numId w:val="2"/>
        </w:numPr>
        <w:ind w:left="720" w:hanging="360"/>
        <w:jc w:val="both"/>
        <w:rPr>
          <w:sz w:val="24"/>
          <w:szCs w:val="24"/>
          <w:u w:val="none"/>
        </w:rPr>
      </w:pPr>
      <w:r w:rsidDel="00000000" w:rsidR="00000000" w:rsidRPr="00000000">
        <w:rPr>
          <w:sz w:val="24"/>
          <w:szCs w:val="24"/>
          <w:rtl w:val="0"/>
        </w:rPr>
        <w:t xml:space="preserve">La duración varía entre 50 y 600 ms</w:t>
      </w:r>
    </w:p>
    <w:p w:rsidR="00000000" w:rsidDel="00000000" w:rsidP="00000000" w:rsidRDefault="00000000" w:rsidRPr="00000000" w14:paraId="00000059">
      <w:pPr>
        <w:numPr>
          <w:ilvl w:val="0"/>
          <w:numId w:val="2"/>
        </w:numPr>
        <w:ind w:left="720" w:hanging="360"/>
        <w:jc w:val="both"/>
        <w:rPr>
          <w:sz w:val="24"/>
          <w:szCs w:val="24"/>
          <w:u w:val="none"/>
        </w:rPr>
      </w:pPr>
      <w:r w:rsidDel="00000000" w:rsidR="00000000" w:rsidRPr="00000000">
        <w:rPr>
          <w:sz w:val="24"/>
          <w:szCs w:val="24"/>
          <w:rtl w:val="0"/>
        </w:rPr>
        <w:t xml:space="preserve">La duración mínima necesaria para la ingesta de información es dependiente de la tarea y del nivel de estímulo utilizado.</w:t>
      </w:r>
    </w:p>
    <w:p w:rsidR="00000000" w:rsidDel="00000000" w:rsidP="00000000" w:rsidRDefault="00000000" w:rsidRPr="00000000" w14:paraId="0000005A">
      <w:pPr>
        <w:numPr>
          <w:ilvl w:val="0"/>
          <w:numId w:val="2"/>
        </w:numPr>
        <w:ind w:left="720" w:hanging="360"/>
        <w:jc w:val="both"/>
        <w:rPr>
          <w:sz w:val="24"/>
          <w:szCs w:val="24"/>
          <w:u w:val="none"/>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(Miseviciute L., s.f.)</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Además las fijaciones son importantes para analizar la atención que una persona dirige hacia algunos determinados elementos visuales. La duración de una fijación puede utilizarse como indicador del interés que los usuarios tienen hacia un elemento. (Guerrero Salinas, 2023). Asimismo, el número y la densidad de las fijaciones permiten analizar qué zonas de un estímulo reciben mayor atención. En estudios de diseño, estos datos se pueden llegar a comparar entre distintas áreas de interés para identificar cuales tienen una mayor actividad visual. (Guerrero Salinas, 2023).</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2"/>
        <w:jc w:val="both"/>
        <w:rPr/>
      </w:pPr>
      <w:bookmarkStart w:colFirst="0" w:colLast="0" w:name="_sexz1giauwps" w:id="7"/>
      <w:bookmarkEnd w:id="7"/>
      <w:r w:rsidDel="00000000" w:rsidR="00000000" w:rsidRPr="00000000">
        <w:rPr>
          <w:rtl w:val="0"/>
        </w:rPr>
        <w:t xml:space="preserve">Métricas para medir experiencias de usuario</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El Eye Tracking permite obtener información objetiva sobre el comportamiento visual de los usuarios durante la interacción con una interfaz. Mediante el registro de los movimientos oculares es posible analizar la atención, el tiempo dedicado a determinados elementos y los patrones de exploración visual. Por ello, se utiliza como una herramien</w:t>
      </w:r>
      <w:r w:rsidDel="00000000" w:rsidR="00000000" w:rsidRPr="00000000">
        <w:rPr>
          <w:sz w:val="24"/>
          <w:szCs w:val="24"/>
          <w:rtl w:val="0"/>
        </w:rPr>
        <w:t xml:space="preserve">ta complementaria para evaluar la usabilidad y la experiencia de usuario (UX) (Novák et al., 2024).</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Para este análisis, las interfaces pueden dividirse en Áreas de Interés (Areas of Interest, AOI), que permiten estudiar de manera específica el comportamiento visual sobre determinadas zonas (Falkowska et al., 2025). Entre las principales métricas se encuentran:</w:t>
      </w:r>
    </w:p>
    <w:p w:rsidR="00000000" w:rsidDel="00000000" w:rsidP="00000000" w:rsidRDefault="00000000" w:rsidRPr="00000000" w14:paraId="00000062">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Time to First Fixation (TTFF): mide el tiempo transcurrido hasta que el usuario dirige su mirada por primera vez hacia un área determinada. Se utiliza para analizar la facilidad con la que los usuarios localizan información dentro de una interfaz (Falkowska et al., 2025).</w:t>
      </w:r>
    </w:p>
    <w:p w:rsidR="00000000" w:rsidDel="00000000" w:rsidP="00000000" w:rsidRDefault="00000000" w:rsidRPr="00000000" w14:paraId="00000063">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Fixation Duration: indica cuánto tiempo permanece la mirada sobre un punto, mientras que Fixation Count registra el número de fijaciones realizadas sobre un área. Ambas métricas se han utilizado para analizar la atención visual y el procesamiento de los elementos de una interfaz (Falkowska et al., 2025; Novák et al., 2024).</w:t>
      </w:r>
    </w:p>
    <w:p w:rsidR="00000000" w:rsidDel="00000000" w:rsidP="00000000" w:rsidRDefault="00000000" w:rsidRPr="00000000" w14:paraId="00000064">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Dwell Time: representa el tiempo total que el usuario permanece observando una determinada Área de Interés y permite analizar la distribución de la atención visual durante una tarea (Choi &amp; Jang, 2024).</w:t>
      </w:r>
    </w:p>
    <w:p w:rsidR="00000000" w:rsidDel="00000000" w:rsidP="00000000" w:rsidRDefault="00000000" w:rsidRPr="00000000" w14:paraId="0000006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Revisit Rate: registra las veces que el usuario regresa a un área después de haberla abandonado. Esta métrica se ha utilizado para estudiar patrones de exploración y zonas que requieren consultas repetidas (Choi &amp; Jang, 2024).</w:t>
      </w:r>
    </w:p>
    <w:p w:rsidR="00000000" w:rsidDel="00000000" w:rsidP="00000000" w:rsidRDefault="00000000" w:rsidRPr="00000000" w14:paraId="00000066">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Time to First Click: mide el tiempo hasta que el usuario realiza un primer clic y permite relacionar el comportamiento visual con la interacción. Falkowska et al. (2025) utilizaron esta métrica junto con otros indicadores para comparar diferentes interfaces.</w:t>
      </w:r>
    </w:p>
    <w:p w:rsidR="00000000" w:rsidDel="00000000" w:rsidP="00000000" w:rsidRDefault="00000000" w:rsidRPr="00000000" w14:paraId="00000067">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Scanpath: representa la secuencia de fijaciones y movimientos oculares durante la exploración de una interfaz. Su análisis permite comparar patrones de exploración entre usuarios (Eraslan et al., 2016).</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En conjunto, estas métricas permiten analizar diferentes aspectos del comportamiento visual. Algunos estudios han integrado Eye Tracking con pruebas de usabilidad y cuestionarios para obtener indicadores objetivos y subjetivos de la experiencia de usuario (Choi &amp; Jang, 2024). De manera similar, Falkowska et al. (2025) combinaron métricas de Eye Tracking con evaluaciones subjetivas y de expertos para analizar interfaces web.</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Por lo tanto, las métricas de Eye Tracking constituyen una herramienta complementaria para evaluar la experiencia de usuario, ya que permiten obtener información cuantitativa sobre la atención y los patrones de interacción visual (Novák et al., 2024).</w:t>
      </w:r>
      <w:r w:rsidDel="00000000" w:rsidR="00000000" w:rsidRPr="00000000">
        <w:rPr>
          <w:rtl w:val="0"/>
        </w:rPr>
      </w:r>
    </w:p>
    <w:p w:rsidR="00000000" w:rsidDel="00000000" w:rsidP="00000000" w:rsidRDefault="00000000" w:rsidRPr="00000000" w14:paraId="0000006A">
      <w:pPr>
        <w:pStyle w:val="Heading2"/>
        <w:jc w:val="both"/>
        <w:rPr/>
      </w:pPr>
      <w:bookmarkStart w:colFirst="0" w:colLast="0" w:name="_mhepu2uk3vqy" w:id="8"/>
      <w:bookmarkEnd w:id="8"/>
      <w:r w:rsidDel="00000000" w:rsidR="00000000" w:rsidRPr="00000000">
        <w:rPr>
          <w:rtl w:val="0"/>
        </w:rPr>
        <w:t xml:space="preserve">Herramientas Open Source </w:t>
      </w:r>
    </w:p>
    <w:p w:rsidR="00000000" w:rsidDel="00000000" w:rsidP="00000000" w:rsidRDefault="00000000" w:rsidRPr="00000000" w14:paraId="0000006B">
      <w:pPr>
        <w:jc w:val="both"/>
        <w:rPr/>
      </w:pPr>
      <w:r w:rsidDel="00000000" w:rsidR="00000000" w:rsidRPr="00000000">
        <w:rPr>
          <w:rtl w:val="0"/>
        </w:rPr>
        <w:t xml:space="preserve">Uno de los principales obstáculos del eye tracking es el costo del equipo especializado, por lo que existen herramientas de código abierto que hacen esta tecnología más accesible para proyectos como el nuestro.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WebGazer.js es una biblioteca en JavaScript que usa cámaras web comunes para estimar en tiempo real hacia dónde mira el usuario en una página, y se autocalibra observando cómo la persona interactúa con el sitio. Además, funciona completamente en el navegador, por lo que el video no se envía a ningún servidor y solo se ejecuta con autorización del usuario. Su precisión es menor que la de un equipo dedicado, pero sus autores reportan que es suficiente para aproximar la mirada en estudios de usabilidad.</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PyGaze </w:t>
      </w:r>
      <w:r w:rsidDel="00000000" w:rsidR="00000000" w:rsidRPr="00000000">
        <w:rPr>
          <w:rtl w:val="0"/>
        </w:rPr>
        <w:t xml:space="preserve">es un paquete open source para Python que, según Dalmaijer, Mathôt y Van der Stigchel (2014), permite presentar estímulos, registrar respuestas y detectar movimientos oculares, además de ser compatible con eye trackers de marcas como EyeLink, SMI y Tobii. Su ventaja es que simplifica el uso de las múltiples librerías que normalmente se requieren para montar un experimento. </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OGAMA se enfoca en el análisis. De acuerdo con Voßkühler et al. (2008), permite grabar y analizar datos de mirada y de mouse, generar mapas de atención, definir áreas de interés y exportar los resultados para usarlos en paquetes estadísticos.</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En conjunto, WebGazer.js resulta la opción más viable para capturar datos sin equipo especializado, mientras que OGAMA complementa el proceso en la etapa de análisis.</w:t>
      </w:r>
    </w:p>
    <w:p w:rsidR="00000000" w:rsidDel="00000000" w:rsidP="00000000" w:rsidRDefault="00000000" w:rsidRPr="00000000" w14:paraId="00000074">
      <w:pPr>
        <w:pStyle w:val="Heading2"/>
        <w:jc w:val="both"/>
        <w:rPr/>
      </w:pPr>
      <w:bookmarkStart w:colFirst="0" w:colLast="0" w:name="_n2hw4y1gopii" w:id="9"/>
      <w:bookmarkEnd w:id="9"/>
      <w:r w:rsidDel="00000000" w:rsidR="00000000" w:rsidRPr="00000000">
        <w:rPr>
          <w:rtl w:val="0"/>
        </w:rPr>
        <w:t xml:space="preserve">Conclusión</w:t>
      </w:r>
    </w:p>
    <w:p w:rsidR="00000000" w:rsidDel="00000000" w:rsidP="00000000" w:rsidRDefault="00000000" w:rsidRPr="00000000" w14:paraId="00000075">
      <w:pPr>
        <w:jc w:val="both"/>
        <w:rPr/>
      </w:pPr>
      <w:r w:rsidDel="00000000" w:rsidR="00000000" w:rsidRPr="00000000">
        <w:rPr>
          <w:rtl w:val="0"/>
        </w:rPr>
        <w:t xml:space="preserve">Con esta investigación comprendimos que el eye tracking permite registrar hacia dónde mira una persona, por cuánto tiempo y en qué orden. Entender las sacadas y las fijaciones fue clave, ya que son la base de las métricas que evalúan la experiencia de usuario, como el time to first fixation, el dwell time o el scanpath, las cuales aportan información objetiva que difícilmente se obtiene solo con encuestas.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También identificamos que existen alternativas open source que hacen viable este análisis sin equipo costoso, aunque con limitaciones en precisión y dependencia de factores como la calibración y la iluminación, además de la necesidad de contar siempre con el consentimiento de los participantes.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Con esta base, el equipo puede continuar con el proyecto: elegir la herramienta adecuada, definir las áreas de interés y las métricas a utilizar, y diseñar las pruebas con usuarios.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m5la16s8ttwo" w:id="10"/>
      <w:bookmarkEnd w:id="10"/>
      <w:r w:rsidDel="00000000" w:rsidR="00000000" w:rsidRPr="00000000">
        <w:rPr>
          <w:rtl w:val="0"/>
        </w:rPr>
        <w:t xml:space="preserve">Referencias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Brown WebGazer Team. (2026). </w:t>
      </w:r>
      <w:r w:rsidDel="00000000" w:rsidR="00000000" w:rsidRPr="00000000">
        <w:rPr>
          <w:i w:val="1"/>
          <w:iCs w:val="1"/>
          <w:sz w:val="24"/>
          <w:szCs w:val="24"/>
          <w:rtl w:val="0"/>
        </w:rPr>
        <w:t xml:space="preserve">WebGazer.js: Democratizing webcam eye tracking on the browser</w:t>
      </w:r>
      <w:r w:rsidDel="00000000" w:rsidR="00000000" w:rsidRPr="00000000">
        <w:rPr>
          <w:sz w:val="24"/>
          <w:szCs w:val="24"/>
          <w:rtl w:val="0"/>
        </w:rPr>
        <w:t xml:space="preserve">. Brown University.</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https://webgazer.cs.brown.edu/</w:t>
        </w:r>
      </w:hyperlink>
      <w:r w:rsidDel="00000000" w:rsidR="00000000" w:rsidRPr="00000000">
        <w:rPr>
          <w:sz w:val="24"/>
          <w:szCs w:val="24"/>
          <w:rtl w:val="0"/>
        </w:rPr>
        <w:t xml:space="preserve">  </w:t>
        <w:tab/>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color w:val="212121"/>
          <w:sz w:val="24"/>
          <w:szCs w:val="24"/>
        </w:rPr>
      </w:pPr>
      <w:r w:rsidDel="00000000" w:rsidR="00000000" w:rsidRPr="00000000">
        <w:rPr>
          <w:color w:val="212121"/>
          <w:sz w:val="24"/>
          <w:szCs w:val="24"/>
          <w:rtl w:val="0"/>
        </w:rPr>
        <w:t xml:space="preserve">Choi, H., &amp; Jang, W. (2024). User Experience Study of the Patient Monitoring Systems Based on Usability Testing and Eye Tracking. </w:t>
      </w:r>
      <w:r w:rsidDel="00000000" w:rsidR="00000000" w:rsidRPr="00000000">
        <w:rPr>
          <w:i w:val="1"/>
          <w:iCs w:val="1"/>
          <w:color w:val="212121"/>
          <w:sz w:val="24"/>
          <w:szCs w:val="24"/>
          <w:rtl w:val="0"/>
        </w:rPr>
        <w:t xml:space="preserve">Healthcare (Basel, Switzerland)</w:t>
      </w:r>
      <w:r w:rsidDel="00000000" w:rsidR="00000000" w:rsidRPr="00000000">
        <w:rPr>
          <w:color w:val="212121"/>
          <w:sz w:val="24"/>
          <w:szCs w:val="24"/>
          <w:rtl w:val="0"/>
        </w:rPr>
        <w:t xml:space="preserve">, </w:t>
      </w:r>
      <w:r w:rsidDel="00000000" w:rsidR="00000000" w:rsidRPr="00000000">
        <w:rPr>
          <w:i w:val="1"/>
          <w:iCs w:val="1"/>
          <w:color w:val="212121"/>
          <w:sz w:val="24"/>
          <w:szCs w:val="24"/>
          <w:rtl w:val="0"/>
        </w:rPr>
        <w:t xml:space="preserve">12</w:t>
      </w:r>
      <w:r w:rsidDel="00000000" w:rsidR="00000000" w:rsidRPr="00000000">
        <w:rPr>
          <w:color w:val="212121"/>
          <w:sz w:val="24"/>
          <w:szCs w:val="24"/>
          <w:rtl w:val="0"/>
        </w:rPr>
        <w:t xml:space="preserve">(24), 2573. </w:t>
      </w:r>
      <w:r w:rsidDel="00000000" w:rsidR="00000000" w:rsidRPr="00000000">
        <w:rPr>
          <w:sz w:val="24"/>
          <w:szCs w:val="24"/>
          <w:rtl w:val="0"/>
        </w:rPr>
        <w:t xml:space="preserve">Recuperado el 7 de agosto de: </w:t>
      </w:r>
      <w:r w:rsidDel="00000000" w:rsidR="00000000" w:rsidRPr="00000000">
        <w:rPr>
          <w:color w:val="222222"/>
          <w:sz w:val="24"/>
          <w:szCs w:val="24"/>
          <w:rtl w:val="0"/>
        </w:rPr>
        <w:t xml:space="preserve"> </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https://doi.org/10.3390/healthcare12242573</w:t>
        </w:r>
      </w:hyperlink>
      <w:r w:rsidDel="00000000" w:rsidR="00000000" w:rsidRPr="00000000">
        <w:rPr>
          <w:color w:val="212121"/>
          <w:sz w:val="24"/>
          <w:szCs w:val="24"/>
          <w:rtl w:val="0"/>
        </w:rPr>
        <w:t xml:space="preserve"> </w:t>
      </w:r>
    </w:p>
    <w:p w:rsidR="00000000" w:rsidDel="00000000" w:rsidP="00000000" w:rsidRDefault="00000000" w:rsidRPr="00000000" w14:paraId="00000083">
      <w:pPr>
        <w:jc w:val="both"/>
        <w:rPr>
          <w:color w:val="212121"/>
          <w:sz w:val="24"/>
          <w:szCs w:val="24"/>
        </w:rPr>
      </w:pPr>
      <w:r w:rsidDel="00000000" w:rsidR="00000000" w:rsidRPr="00000000">
        <w:rPr>
          <w:rtl w:val="0"/>
        </w:rPr>
      </w:r>
    </w:p>
    <w:p w:rsidR="00000000" w:rsidDel="00000000" w:rsidP="00000000" w:rsidRDefault="00000000" w:rsidRPr="00000000" w14:paraId="00000084">
      <w:pPr>
        <w:jc w:val="both"/>
        <w:rPr>
          <w:color w:val="222222"/>
          <w:sz w:val="24"/>
          <w:szCs w:val="24"/>
        </w:rPr>
      </w:pPr>
      <w:r w:rsidDel="00000000" w:rsidR="00000000" w:rsidRPr="00000000">
        <w:rPr>
          <w:color w:val="222222"/>
          <w:sz w:val="24"/>
          <w:szCs w:val="24"/>
          <w:rtl w:val="0"/>
        </w:rPr>
        <w:t xml:space="preserve">Eraslan, S., Yesilada, Y., &amp; Harper, S. (2016). Eye Tracking Scanpath Analysis Techniques on Web Pages: A Survey, Evaluation and Comparison. </w:t>
      </w:r>
      <w:r w:rsidDel="00000000" w:rsidR="00000000" w:rsidRPr="00000000">
        <w:rPr>
          <w:i w:val="1"/>
          <w:iCs w:val="1"/>
          <w:color w:val="222222"/>
          <w:sz w:val="24"/>
          <w:szCs w:val="24"/>
          <w:rtl w:val="0"/>
        </w:rPr>
        <w:t xml:space="preserve">Journal of Eye Movement Research</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9</w:t>
      </w:r>
      <w:r w:rsidDel="00000000" w:rsidR="00000000" w:rsidRPr="00000000">
        <w:rPr>
          <w:color w:val="222222"/>
          <w:sz w:val="24"/>
          <w:szCs w:val="24"/>
          <w:rtl w:val="0"/>
        </w:rPr>
        <w:t xml:space="preserve">(1), 1-19. </w:t>
      </w:r>
      <w:r w:rsidDel="00000000" w:rsidR="00000000" w:rsidRPr="00000000">
        <w:rPr>
          <w:sz w:val="24"/>
          <w:szCs w:val="24"/>
          <w:rtl w:val="0"/>
        </w:rPr>
        <w:t xml:space="preserve">Recuperado el 7 de agosto de: </w:t>
      </w:r>
      <w:r w:rsidDel="00000000" w:rsidR="00000000" w:rsidRPr="00000000">
        <w:rPr>
          <w:color w:val="222222"/>
          <w:sz w:val="24"/>
          <w:szCs w:val="24"/>
          <w:rtl w:val="0"/>
        </w:rPr>
        <w:t xml:space="preserve"> </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https://doi.org/10.16910/jemr.9.1.2</w:t>
        </w:r>
      </w:hyperlink>
      <w:r w:rsidDel="00000000" w:rsidR="00000000" w:rsidRPr="00000000">
        <w:rPr>
          <w:color w:val="222222"/>
          <w:sz w:val="24"/>
          <w:szCs w:val="24"/>
          <w:rtl w:val="0"/>
        </w:rPr>
        <w:t xml:space="preserve"> </w:t>
      </w:r>
    </w:p>
    <w:p w:rsidR="00000000" w:rsidDel="00000000" w:rsidP="00000000" w:rsidRDefault="00000000" w:rsidRPr="00000000" w14:paraId="00000085">
      <w:pPr>
        <w:jc w:val="both"/>
        <w:rPr>
          <w:color w:val="222222"/>
          <w:sz w:val="24"/>
          <w:szCs w:val="24"/>
        </w:rPr>
      </w:pP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ESIC Business &amp; Marketing School. (2025, agosto). ¿Qué es el eye tracking y para qué sirve en marketing? ESIC Rethink.</w:t>
      </w:r>
    </w:p>
    <w:p w:rsidR="00000000" w:rsidDel="00000000" w:rsidP="00000000" w:rsidRDefault="00000000" w:rsidRPr="00000000" w14:paraId="00000087">
      <w:pPr>
        <w:jc w:val="both"/>
        <w:rPr>
          <w:sz w:val="24"/>
          <w:szCs w:val="24"/>
        </w:rPr>
      </w:pPr>
      <w:hyperlink r:id="rId12">
        <w:r w:rsidDel="00000000" w:rsidR="00000000" w:rsidRPr="00000000">
          <w:rPr>
            <w:color w:val="1155cc"/>
            <w:sz w:val="24"/>
            <w:szCs w:val="24"/>
            <w:u w:val="single"/>
            <w:rtl w:val="0"/>
          </w:rPr>
          <w:t xml:space="preserve">https://www.esic.edu/rethink/marketing-y-comunicacion/eye-tracking-que-es-aplicaciones-marketing-c</w:t>
        </w:r>
      </w:hyperlink>
      <w:r w:rsidDel="00000000" w:rsidR="00000000" w:rsidRPr="00000000">
        <w:rPr>
          <w:sz w:val="24"/>
          <w:szCs w:val="24"/>
          <w:rtl w:val="0"/>
        </w:rPr>
        <w:t xml:space="preserve"> </w:t>
      </w:r>
    </w:p>
    <w:p w:rsidR="00000000" w:rsidDel="00000000" w:rsidP="00000000" w:rsidRDefault="00000000" w:rsidRPr="00000000" w14:paraId="00000088">
      <w:pPr>
        <w:jc w:val="both"/>
        <w:rPr>
          <w:sz w:val="24"/>
          <w:szCs w:val="24"/>
        </w:rPr>
      </w:pPr>
      <w:r w:rsidDel="00000000" w:rsidR="00000000" w:rsidRPr="00000000">
        <w:rPr>
          <w:rtl w:val="0"/>
        </w:rPr>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Dalmaijer, E. S., Mathôt, S., &amp; Van der Stigchel, S. (2014). PyGaze: An open-source, cross-platform toolbox for minimal-effort programming of eyetracking experiments. Behavior Research Methods, 46(4), 913–921. </w:t>
      </w:r>
      <w:hyperlink r:id="rId13">
        <w:r w:rsidDel="00000000" w:rsidR="00000000" w:rsidRPr="00000000">
          <w:rPr>
            <w:color w:val="1155cc"/>
            <w:sz w:val="24"/>
            <w:szCs w:val="24"/>
            <w:u w:val="single"/>
            <w:rtl w:val="0"/>
          </w:rPr>
          <w:t xml:space="preserve">https://doi.org/10.3758/s13428-013-0422-2</w:t>
        </w:r>
      </w:hyperlink>
      <w:r w:rsidDel="00000000" w:rsidR="00000000" w:rsidRPr="00000000">
        <w:rPr>
          <w:sz w:val="24"/>
          <w:szCs w:val="24"/>
          <w:rtl w:val="0"/>
        </w:rPr>
        <w:t xml:space="preserve"> </w:t>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jc w:val="both"/>
        <w:rPr>
          <w:sz w:val="24"/>
          <w:szCs w:val="24"/>
        </w:rPr>
      </w:pPr>
      <w:r w:rsidDel="00000000" w:rsidR="00000000" w:rsidRPr="00000000">
        <w:rPr>
          <w:color w:val="1b1b1b"/>
          <w:sz w:val="24"/>
          <w:szCs w:val="24"/>
          <w:rtl w:val="0"/>
        </w:rPr>
        <w:t xml:space="preserve">Falkowska, J., Sobecki, J., &amp; Falkowski, M. (2025). Utilization of Eye-Tracking Metrics to Evaluate User Experiences-Technology Description and Preliminary Study. </w:t>
      </w:r>
      <w:r w:rsidDel="00000000" w:rsidR="00000000" w:rsidRPr="00000000">
        <w:rPr>
          <w:i w:val="1"/>
          <w:iCs w:val="1"/>
          <w:color w:val="1b1b1b"/>
          <w:sz w:val="24"/>
          <w:szCs w:val="24"/>
          <w:rtl w:val="0"/>
        </w:rPr>
        <w:t xml:space="preserve">Sensors (Basel, Switzerland)</w:t>
      </w:r>
      <w:r w:rsidDel="00000000" w:rsidR="00000000" w:rsidRPr="00000000">
        <w:rPr>
          <w:color w:val="1b1b1b"/>
          <w:sz w:val="24"/>
          <w:szCs w:val="24"/>
          <w:rtl w:val="0"/>
        </w:rPr>
        <w:t xml:space="preserve">, </w:t>
      </w:r>
      <w:r w:rsidDel="00000000" w:rsidR="00000000" w:rsidRPr="00000000">
        <w:rPr>
          <w:i w:val="1"/>
          <w:iCs w:val="1"/>
          <w:color w:val="1b1b1b"/>
          <w:sz w:val="24"/>
          <w:szCs w:val="24"/>
          <w:rtl w:val="0"/>
        </w:rPr>
        <w:t xml:space="preserve">25</w:t>
      </w:r>
      <w:r w:rsidDel="00000000" w:rsidR="00000000" w:rsidRPr="00000000">
        <w:rPr>
          <w:color w:val="1b1b1b"/>
          <w:sz w:val="24"/>
          <w:szCs w:val="24"/>
          <w:rtl w:val="0"/>
        </w:rPr>
        <w:t xml:space="preserve">(19), 6101. </w:t>
      </w:r>
      <w:r w:rsidDel="00000000" w:rsidR="00000000" w:rsidRPr="00000000">
        <w:rPr>
          <w:sz w:val="24"/>
          <w:szCs w:val="24"/>
          <w:rtl w:val="0"/>
        </w:rPr>
        <w:t xml:space="preserve">Recuperado el 8 de agosto de: </w:t>
      </w:r>
      <w:hyperlink r:id="rId14">
        <w:r w:rsidDel="00000000" w:rsidR="00000000" w:rsidRPr="00000000">
          <w:rPr>
            <w:color w:val="1155cc"/>
            <w:sz w:val="24"/>
            <w:szCs w:val="24"/>
            <w:u w:val="single"/>
            <w:rtl w:val="0"/>
          </w:rPr>
          <w:t xml:space="preserve">https://doi.org/10.3390/s25196101</w:t>
        </w:r>
      </w:hyperlink>
      <w:r w:rsidDel="00000000" w:rsidR="00000000" w:rsidRPr="00000000">
        <w:rPr>
          <w:color w:val="1b1b1b"/>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8C">
      <w:pPr>
        <w:jc w:val="both"/>
        <w:rPr>
          <w:sz w:val="24"/>
          <w:szCs w:val="24"/>
        </w:rPr>
      </w:pPr>
      <w:r w:rsidDel="00000000" w:rsidR="00000000" w:rsidRPr="00000000">
        <w:rPr>
          <w:rtl w:val="0"/>
        </w:rPr>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Guerrero Salinas, M. (2023). Eye tracking, una herramienta complementaria para la evaluación del diseño. </w:t>
      </w:r>
      <w:r w:rsidDel="00000000" w:rsidR="00000000" w:rsidRPr="00000000">
        <w:rPr>
          <w:i w:val="1"/>
          <w:iCs w:val="1"/>
          <w:sz w:val="24"/>
          <w:szCs w:val="24"/>
          <w:rtl w:val="0"/>
        </w:rPr>
        <w:t xml:space="preserve">Zincografía</w:t>
      </w:r>
      <w:r w:rsidDel="00000000" w:rsidR="00000000" w:rsidRPr="00000000">
        <w:rPr>
          <w:sz w:val="24"/>
          <w:szCs w:val="24"/>
          <w:rtl w:val="0"/>
        </w:rPr>
        <w:t xml:space="preserve">, </w:t>
      </w:r>
      <w:r w:rsidDel="00000000" w:rsidR="00000000" w:rsidRPr="00000000">
        <w:rPr>
          <w:i w:val="1"/>
          <w:iCs w:val="1"/>
          <w:sz w:val="24"/>
          <w:szCs w:val="24"/>
          <w:rtl w:val="0"/>
        </w:rPr>
        <w:t xml:space="preserve">7</w:t>
      </w:r>
      <w:r w:rsidDel="00000000" w:rsidR="00000000" w:rsidRPr="00000000">
        <w:rPr>
          <w:sz w:val="24"/>
          <w:szCs w:val="24"/>
          <w:rtl w:val="0"/>
        </w:rPr>
        <w:t xml:space="preserve">(13). </w:t>
      </w:r>
      <w:hyperlink r:id="rId15">
        <w:r w:rsidDel="00000000" w:rsidR="00000000" w:rsidRPr="00000000">
          <w:rPr>
            <w:color w:val="1155cc"/>
            <w:sz w:val="24"/>
            <w:szCs w:val="24"/>
            <w:u w:val="single"/>
            <w:rtl w:val="0"/>
          </w:rPr>
          <w:t xml:space="preserve">https://doi.org/10.32870/zcr.v7i13.203</w:t>
        </w:r>
      </w:hyperlink>
      <w:r w:rsidDel="00000000" w:rsidR="00000000" w:rsidRPr="00000000">
        <w:rPr>
          <w:rtl w:val="0"/>
        </w:rPr>
      </w:r>
    </w:p>
    <w:p w:rsidR="00000000" w:rsidDel="00000000" w:rsidP="00000000" w:rsidRDefault="00000000" w:rsidRPr="00000000" w14:paraId="0000008E">
      <w:pPr>
        <w:jc w:val="both"/>
        <w:rPr>
          <w:sz w:val="24"/>
          <w:szCs w:val="24"/>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Miseviciute L., (s.f.)Tobii AB. Movimiento ocular: Tipos y funciones. Recuperado el 8 de agosto de: </w:t>
      </w:r>
      <w:hyperlink r:id="rId16">
        <w:r w:rsidDel="00000000" w:rsidR="00000000" w:rsidRPr="00000000">
          <w:rPr>
            <w:color w:val="1155cc"/>
            <w:sz w:val="24"/>
            <w:szCs w:val="24"/>
            <w:u w:val="single"/>
            <w:rtl w:val="0"/>
          </w:rPr>
          <w:t xml:space="preserve">Movimiento ocular: Tipos y funciones - Tobii</w:t>
        </w:r>
      </w:hyperlink>
      <w:r w:rsidDel="00000000" w:rsidR="00000000" w:rsidRPr="00000000">
        <w:rPr>
          <w:sz w:val="24"/>
          <w:szCs w:val="24"/>
          <w:rtl w:val="0"/>
        </w:rPr>
        <w:t xml:space="preserve"> </w:t>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Montagud N. (2019). Movimientos sacádicos: definición, características y funciones. Portal Psicología y Mente. Recuperado el 5 de agosto de: </w:t>
      </w:r>
      <w:hyperlink r:id="rId17">
        <w:r w:rsidDel="00000000" w:rsidR="00000000" w:rsidRPr="00000000">
          <w:rPr>
            <w:color w:val="1155cc"/>
            <w:sz w:val="24"/>
            <w:szCs w:val="24"/>
            <w:u w:val="single"/>
            <w:rtl w:val="0"/>
          </w:rPr>
          <w:t xml:space="preserve">https://psicologiaymente.com/neurociencias/movimientos-sacadicos</w:t>
        </w:r>
      </w:hyperlink>
      <w:r w:rsidDel="00000000" w:rsidR="00000000" w:rsidRPr="00000000">
        <w:rPr>
          <w:rtl w:val="0"/>
        </w:rPr>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color w:val="333333"/>
          <w:sz w:val="24"/>
          <w:szCs w:val="24"/>
          <w:rtl w:val="0"/>
        </w:rPr>
        <w:t xml:space="preserve">Novák, J. Š., Masner, J., Benda, P., Šimek, P., &amp; Merunka, V. (2024). Eye Tracking, Usability, and User Experience: A Systematic Review. </w:t>
      </w:r>
      <w:r w:rsidDel="00000000" w:rsidR="00000000" w:rsidRPr="00000000">
        <w:rPr>
          <w:i w:val="1"/>
          <w:iCs w:val="1"/>
          <w:color w:val="333333"/>
          <w:sz w:val="24"/>
          <w:szCs w:val="24"/>
          <w:rtl w:val="0"/>
        </w:rPr>
        <w:t xml:space="preserve">International Journal of Human–Computer Interaction</w:t>
      </w:r>
      <w:r w:rsidDel="00000000" w:rsidR="00000000" w:rsidRPr="00000000">
        <w:rPr>
          <w:color w:val="333333"/>
          <w:sz w:val="24"/>
          <w:szCs w:val="24"/>
          <w:rtl w:val="0"/>
        </w:rPr>
        <w:t xml:space="preserve">, </w:t>
      </w:r>
      <w:r w:rsidDel="00000000" w:rsidR="00000000" w:rsidRPr="00000000">
        <w:rPr>
          <w:i w:val="1"/>
          <w:iCs w:val="1"/>
          <w:color w:val="333333"/>
          <w:sz w:val="24"/>
          <w:szCs w:val="24"/>
          <w:rtl w:val="0"/>
        </w:rPr>
        <w:t xml:space="preserve">40</w:t>
      </w:r>
      <w:r w:rsidDel="00000000" w:rsidR="00000000" w:rsidRPr="00000000">
        <w:rPr>
          <w:color w:val="333333"/>
          <w:sz w:val="24"/>
          <w:szCs w:val="24"/>
          <w:rtl w:val="0"/>
        </w:rPr>
        <w:t xml:space="preserve">(17), 4484–4500. </w:t>
      </w:r>
      <w:r w:rsidDel="00000000" w:rsidR="00000000" w:rsidRPr="00000000">
        <w:rPr>
          <w:sz w:val="24"/>
          <w:szCs w:val="24"/>
          <w:rtl w:val="0"/>
        </w:rPr>
        <w:t xml:space="preserve">Recuperado el 7 de agosto de: </w:t>
      </w:r>
      <w:r w:rsidDel="00000000" w:rsidR="00000000" w:rsidRPr="00000000">
        <w:rPr>
          <w:color w:val="222222"/>
          <w:sz w:val="24"/>
          <w:szCs w:val="24"/>
          <w:rtl w:val="0"/>
        </w:rPr>
        <w:t xml:space="preserve"> </w:t>
      </w:r>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https://doi.org/10.1080/10447318.2023.2221600</w:t>
        </w:r>
      </w:hyperlink>
      <w:r w:rsidDel="00000000" w:rsidR="00000000" w:rsidRPr="00000000">
        <w:rPr>
          <w:color w:val="333333"/>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94">
      <w:pPr>
        <w:jc w:val="both"/>
        <w:rPr>
          <w:sz w:val="24"/>
          <w:szCs w:val="24"/>
        </w:rPr>
      </w:pPr>
      <w:r w:rsidDel="00000000" w:rsidR="00000000" w:rsidRPr="00000000">
        <w:rPr>
          <w:rtl w:val="0"/>
        </w:rPr>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Samuel Stuart, Aodhan Hickey, Rodrigo Vitorio, Karen Welman, Stacy Foo, David Keen.  (2019). Eye-tracker algorithms to detect saccades during static and dynamic tasks: a structured review. Physiol Meas. Recuperado el 7 de agosto de: </w:t>
      </w:r>
      <w:r w:rsidDel="00000000" w:rsidR="00000000" w:rsidRPr="00000000">
        <w:rPr>
          <w:color w:val="222222"/>
          <w:sz w:val="24"/>
          <w:szCs w:val="24"/>
          <w:rtl w:val="0"/>
        </w:rPr>
        <w:t xml:space="preserve"> </w:t>
      </w:r>
      <w:r w:rsidDel="00000000" w:rsidR="00000000" w:rsidRPr="00000000">
        <w:rPr>
          <w:sz w:val="24"/>
          <w:szCs w:val="24"/>
          <w:rtl w:val="0"/>
        </w:rPr>
        <w:t xml:space="preserve"> </w:t>
      </w:r>
      <w:hyperlink r:id="rId19">
        <w:r w:rsidDel="00000000" w:rsidR="00000000" w:rsidRPr="00000000">
          <w:rPr>
            <w:color w:val="1155cc"/>
            <w:sz w:val="24"/>
            <w:szCs w:val="24"/>
            <w:u w:val="single"/>
            <w:rtl w:val="0"/>
          </w:rPr>
          <w:t xml:space="preserve">Eye-tracker algorithms to detect saccades during static and dynamic tasks: a structured review</w:t>
        </w:r>
      </w:hyperlink>
      <w:r w:rsidDel="00000000" w:rsidR="00000000" w:rsidRPr="00000000">
        <w:rPr>
          <w:sz w:val="24"/>
          <w:szCs w:val="24"/>
          <w:rtl w:val="0"/>
        </w:rPr>
        <w:t xml:space="preserve"> </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Voßkühler, A., Nordmeier, V., Kuchinke, L., &amp; Jacobs, A. M. (2008). OGAMA (Open Gaze and Mouse Analyzer): Open-source software designed to analyze eye and mouse movements in slideshow study designs. Behavior Research Methods, 40(4), 1150–1162. </w:t>
      </w:r>
      <w:hyperlink r:id="rId20">
        <w:r w:rsidDel="00000000" w:rsidR="00000000" w:rsidRPr="00000000">
          <w:rPr>
            <w:color w:val="1155cc"/>
            <w:sz w:val="24"/>
            <w:szCs w:val="24"/>
            <w:u w:val="single"/>
            <w:rtl w:val="0"/>
          </w:rPr>
          <w:t xml:space="preserve">https://doi.org/10.3758/BRM.40.4.1150</w:t>
        </w:r>
      </w:hyperlink>
      <w:r w:rsidDel="00000000" w:rsidR="00000000" w:rsidRPr="00000000">
        <w:rPr>
          <w:sz w:val="24"/>
          <w:szCs w:val="24"/>
          <w:rtl w:val="0"/>
        </w:rPr>
        <w:t xml:space="preserve"> </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758/BRM.40.4.1150" TargetMode="External"/><Relationship Id="rId11" Type="http://schemas.openxmlformats.org/officeDocument/2006/relationships/hyperlink" Target="https://doi.org/10.16910/jemr.9.1.2" TargetMode="External"/><Relationship Id="rId10" Type="http://schemas.openxmlformats.org/officeDocument/2006/relationships/hyperlink" Target="https://doi.org/10.3390/healthcare12242573" TargetMode="External"/><Relationship Id="rId21" Type="http://schemas.openxmlformats.org/officeDocument/2006/relationships/footer" Target="footer1.xml"/><Relationship Id="rId13" Type="http://schemas.openxmlformats.org/officeDocument/2006/relationships/hyperlink" Target="https://doi.org/10.3758/s13428-013-0422-2" TargetMode="External"/><Relationship Id="rId12" Type="http://schemas.openxmlformats.org/officeDocument/2006/relationships/hyperlink" Target="https://www.esic.edu/rethink/marketing-y-comunicacion/eye-tracking-que-es-aplicaciones-marketing-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gazer.cs.brown.edu/" TargetMode="External"/><Relationship Id="rId15" Type="http://schemas.openxmlformats.org/officeDocument/2006/relationships/hyperlink" Target="https://doi.org/10.32870/zcr.v7i13.203" TargetMode="External"/><Relationship Id="rId14" Type="http://schemas.openxmlformats.org/officeDocument/2006/relationships/hyperlink" Target="https://doi.org/10.3390/s25196101" TargetMode="External"/><Relationship Id="rId17" Type="http://schemas.openxmlformats.org/officeDocument/2006/relationships/hyperlink" Target="https://psicologiaymente.com/neurociencias/movimientos-sacadicos" TargetMode="External"/><Relationship Id="rId16" Type="http://schemas.openxmlformats.org/officeDocument/2006/relationships/hyperlink" Target="https://www.tobii.com/es/resource-center/learn-articles/types-of-eye-movements" TargetMode="External"/><Relationship Id="rId5" Type="http://schemas.openxmlformats.org/officeDocument/2006/relationships/styles" Target="styles.xml"/><Relationship Id="rId19" Type="http://schemas.openxmlformats.org/officeDocument/2006/relationships/hyperlink" Target="https://iopscience.iop.org/article/10.1088/1361-6579/ab02ab/pdf" TargetMode="External"/><Relationship Id="rId6" Type="http://schemas.openxmlformats.org/officeDocument/2006/relationships/image" Target="media/image1.png"/><Relationship Id="rId18" Type="http://schemas.openxmlformats.org/officeDocument/2006/relationships/hyperlink" Target="https://doi.org/10.1080/10447318.2023.2221600" TargetMode="External"/><Relationship Id="rId7" Type="http://schemas.openxmlformats.org/officeDocument/2006/relationships/hyperlink" Target="mailto:eduardoemmanuel.rodriguez@udem.edu" TargetMode="External"/><Relationship Id="rId8" Type="http://schemas.openxmlformats.org/officeDocument/2006/relationships/hyperlink" Target="https://webgazer.cs.brown.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