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2020.8.31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1、分析能力 </w:t>
      </w:r>
    </w:p>
    <w:p>
      <w:pPr>
        <w:rPr>
          <w:rFonts w:hint="eastAsia"/>
        </w:rPr>
      </w:pPr>
      <w:r>
        <w:rPr>
          <w:rFonts w:hint="eastAsia"/>
        </w:rPr>
        <w:t>【顶级投资人的逻辑思维：半秒钟看透事物本质】工作中有一个高效的逻辑思维能力无比重要。所有和“寻求解决方法”无关的信息，都是无用信息，都需要剔除。花半秒钟就看透事物本质的人，和花一辈子都看不清事物本质的人，注定是截然不同的命运。 ​</w:t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10068877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068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2、观念 和 观念的形成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观念 和 观念的形成 ，说说如何分析背后的逻辑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 如何选基金，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答案 选最近涨的好的基金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是学习 分析思路，还是 直接 抄结论 ？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b/>
          <w:lang w:val="en-US" w:eastAsia="zh-CN"/>
        </w:rPr>
        <w:t xml:space="preserve">3、牛市的号角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张无忌忽然叹了口气，黯然不语。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赵敏道：“你叹什么气？”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张无忌道：“不知道那位郡马爷前生做了什么大善事，修来这样的好福气。”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赵敏笑道：“你现下再修，也还来得及。”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——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张无忌又道：“不知道那位大多头前生做了什么大善事，追上这样的大涨势。”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赵敏笑道：“你现下再追，也还来得及。”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1C26E1"/>
    <w:rsid w:val="6E567433"/>
    <w:rsid w:val="78FB1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529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2020-08-31T09:08:00Z</dcterms:created>
  <dc:creator>xiaosong</dc:creator>
  <cp:lastModifiedBy>Alan</cp:lastModifiedBy>
  <dcterms:modified xsi:type="dcterms:W3CDTF">2020-08-31T18:39:56Z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