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2021-04-01 - 2021-04-15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2.05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5.25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