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82577A"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line="252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  <w:noProof/>
                <w:lang w:eastAsia="ru-RU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39340972"/>
            <w:bookmarkEnd w:id="0"/>
          </w:p>
        </w:tc>
        <w:tc>
          <w:tcPr>
            <w:tcW w:w="79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:rsidR="0082577A" w:rsidRDefault="007141B3">
            <w:pPr>
              <w:spacing w:after="0" w:line="254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:rsidR="0082577A" w:rsidRDefault="007141B3">
            <w:pPr>
              <w:spacing w:after="0" w:line="254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:rsidR="0082577A" w:rsidRDefault="0082577A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82577A" w:rsidRDefault="007141B3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82577A" w:rsidRDefault="007141B3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2C0C3A" w:rsidRDefault="002C0C3A">
      <w:pPr>
        <w:rPr>
          <w:rFonts w:eastAsia="Calibri"/>
          <w:iCs/>
          <w:szCs w:val="28"/>
          <w:u w:val="single"/>
        </w:rPr>
      </w:pPr>
    </w:p>
    <w:p w:rsidR="0082577A" w:rsidRDefault="0082577A">
      <w:pPr>
        <w:rPr>
          <w:rFonts w:eastAsia="Calibri"/>
          <w:iCs/>
          <w:szCs w:val="28"/>
          <w:u w:val="single"/>
        </w:rPr>
      </w:pPr>
    </w:p>
    <w:p w:rsidR="0082577A" w:rsidRPr="002C0C3A" w:rsidRDefault="007141B3">
      <w:pPr>
        <w:spacing w:after="0"/>
        <w:jc w:val="center"/>
        <w:rPr>
          <w:b/>
          <w:sz w:val="40"/>
        </w:rPr>
      </w:pPr>
      <w:r w:rsidRPr="002C0C3A">
        <w:rPr>
          <w:b/>
          <w:sz w:val="40"/>
        </w:rPr>
        <w:t>ОТЧЕТ</w:t>
      </w:r>
    </w:p>
    <w:p w:rsidR="0082577A" w:rsidRPr="00114135" w:rsidRDefault="0084241F">
      <w:pPr>
        <w:spacing w:after="0"/>
        <w:jc w:val="center"/>
        <w:rPr>
          <w:rFonts w:eastAsia="Calibri" w:cs="Times New Roman"/>
          <w:i/>
          <w:sz w:val="40"/>
          <w:lang w:val="en-US"/>
        </w:rPr>
      </w:pPr>
      <w:r>
        <w:rPr>
          <w:rFonts w:eastAsia="Calibri" w:cs="Times New Roman"/>
          <w:i/>
          <w:sz w:val="40"/>
        </w:rPr>
        <w:t>к лабораторной работе №1</w:t>
      </w:r>
      <w:r w:rsidR="00114135">
        <w:rPr>
          <w:rFonts w:eastAsia="Calibri" w:cs="Times New Roman"/>
          <w:i/>
          <w:sz w:val="40"/>
          <w:lang w:val="en-US"/>
        </w:rPr>
        <w:t>7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i/>
          <w:sz w:val="20"/>
        </w:rPr>
      </w:pPr>
    </w:p>
    <w:p w:rsidR="0082577A" w:rsidRPr="002C0C3A" w:rsidRDefault="007141B3">
      <w:pPr>
        <w:spacing w:after="0"/>
        <w:jc w:val="center"/>
        <w:rPr>
          <w:rFonts w:eastAsia="Calibri" w:cs="Times New Roman"/>
          <w:i/>
          <w:sz w:val="40"/>
          <w:szCs w:val="44"/>
        </w:rPr>
      </w:pPr>
      <w:r w:rsidRPr="002C0C3A">
        <w:rPr>
          <w:rFonts w:eastAsia="Calibri" w:cs="Times New Roman"/>
          <w:i/>
          <w:sz w:val="40"/>
          <w:szCs w:val="44"/>
        </w:rPr>
        <w:t>По курсу: «Функциональное и логическое программирование»</w:t>
      </w:r>
    </w:p>
    <w:p w:rsidR="0082577A" w:rsidRPr="002C0C3A" w:rsidRDefault="0082577A">
      <w:pPr>
        <w:spacing w:after="0"/>
        <w:jc w:val="center"/>
        <w:rPr>
          <w:rFonts w:eastAsia="Calibri" w:cs="Times New Roman"/>
          <w:b/>
          <w:i/>
          <w:sz w:val="20"/>
        </w:rPr>
      </w:pPr>
    </w:p>
    <w:p w:rsidR="0082577A" w:rsidRPr="002C0C3A" w:rsidRDefault="004B2813">
      <w:pPr>
        <w:spacing w:after="0"/>
        <w:jc w:val="center"/>
        <w:rPr>
          <w:rFonts w:eastAsia="Calibri" w:cs="Times New Roman"/>
          <w:b/>
          <w:sz w:val="40"/>
          <w:szCs w:val="44"/>
        </w:rPr>
      </w:pPr>
      <w:r>
        <w:rPr>
          <w:rFonts w:eastAsia="Calibri" w:cs="Times New Roman"/>
          <w:b/>
          <w:sz w:val="40"/>
          <w:szCs w:val="44"/>
        </w:rPr>
        <w:t>Тема</w:t>
      </w:r>
      <w:r w:rsidR="007141B3" w:rsidRPr="002C0C3A">
        <w:rPr>
          <w:rFonts w:eastAsia="Calibri" w:cs="Times New Roman"/>
          <w:b/>
          <w:sz w:val="40"/>
          <w:szCs w:val="44"/>
        </w:rPr>
        <w:t>: «</w:t>
      </w:r>
      <w:r w:rsidR="00114135" w:rsidRPr="00114135">
        <w:rPr>
          <w:rFonts w:eastAsia="Calibri" w:cs="Times New Roman"/>
          <w:bCs/>
          <w:sz w:val="40"/>
          <w:szCs w:val="44"/>
        </w:rPr>
        <w:t xml:space="preserve">Обработка списков на </w:t>
      </w:r>
      <w:proofErr w:type="spellStart"/>
      <w:r w:rsidR="00114135" w:rsidRPr="00114135">
        <w:rPr>
          <w:rFonts w:eastAsia="Calibri" w:cs="Times New Roman"/>
          <w:bCs/>
          <w:sz w:val="40"/>
          <w:szCs w:val="44"/>
        </w:rPr>
        <w:t>Prolog</w:t>
      </w:r>
      <w:proofErr w:type="spellEnd"/>
      <w:r w:rsidR="007141B3" w:rsidRPr="002C0C3A">
        <w:rPr>
          <w:rFonts w:eastAsia="Calibri" w:cs="Times New Roman"/>
          <w:bCs/>
          <w:sz w:val="40"/>
          <w:szCs w:val="44"/>
        </w:rPr>
        <w:t>»</w:t>
      </w: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  <w:sz w:val="22"/>
        </w:rPr>
      </w:pPr>
    </w:p>
    <w:p w:rsidR="0082577A" w:rsidRDefault="0082577A">
      <w:pPr>
        <w:spacing w:after="0"/>
        <w:rPr>
          <w:rFonts w:eastAsia="Calibri" w:cs="Times New Roman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2C0C3A" w:rsidRDefault="002C0C3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Студент: Зайцева А. А.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>Группа: ИУ7-62Б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sz w:val="24"/>
        </w:rPr>
      </w:pPr>
      <w:r w:rsidRPr="002C0C3A">
        <w:rPr>
          <w:rFonts w:eastAsia="Calibri" w:cs="Times New Roman"/>
          <w:sz w:val="24"/>
        </w:rPr>
        <w:t xml:space="preserve">Преподаватели: </w:t>
      </w:r>
      <w:proofErr w:type="spellStart"/>
      <w:r w:rsidRPr="002C0C3A">
        <w:rPr>
          <w:rFonts w:eastAsia="Calibri" w:cs="Times New Roman"/>
          <w:sz w:val="24"/>
        </w:rPr>
        <w:t>Толпинская</w:t>
      </w:r>
      <w:proofErr w:type="spellEnd"/>
      <w:r w:rsidRPr="002C0C3A">
        <w:rPr>
          <w:rFonts w:eastAsia="Calibri" w:cs="Times New Roman"/>
          <w:sz w:val="24"/>
        </w:rPr>
        <w:t xml:space="preserve"> Н. Б.,</w:t>
      </w:r>
    </w:p>
    <w:p w:rsidR="0082577A" w:rsidRPr="002C0C3A" w:rsidRDefault="007141B3">
      <w:pPr>
        <w:spacing w:after="0"/>
        <w:ind w:right="565"/>
        <w:jc w:val="right"/>
        <w:rPr>
          <w:rFonts w:eastAsia="Calibri" w:cs="Times New Roman"/>
          <w:i/>
          <w:sz w:val="22"/>
        </w:rPr>
      </w:pPr>
      <w:r w:rsidRPr="002C0C3A">
        <w:rPr>
          <w:rFonts w:eastAsia="Calibri" w:cs="Times New Roman"/>
          <w:sz w:val="24"/>
        </w:rPr>
        <w:t>Строганов Ю. В.</w:t>
      </w:r>
    </w:p>
    <w:p w:rsidR="0082577A" w:rsidRPr="002C0C3A" w:rsidRDefault="0082577A">
      <w:pPr>
        <w:spacing w:after="0"/>
        <w:rPr>
          <w:rFonts w:eastAsia="Calibri" w:cs="Times New Roman"/>
          <w:i/>
          <w:sz w:val="22"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jc w:val="center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82577A">
      <w:pPr>
        <w:spacing w:after="0"/>
        <w:rPr>
          <w:rFonts w:eastAsia="Calibri" w:cs="Times New Roman"/>
          <w:i/>
        </w:rPr>
      </w:pPr>
    </w:p>
    <w:p w:rsidR="0082577A" w:rsidRDefault="007141B3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:rsidR="0082577A" w:rsidRDefault="007141B3">
      <w:pPr>
        <w:pStyle w:val="1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114135" w:rsidRPr="00114135" w:rsidRDefault="00114135" w:rsidP="00476AF2">
      <w:pPr>
        <w:rPr>
          <w:bCs/>
          <w:sz w:val="20"/>
        </w:rPr>
      </w:pPr>
      <w:r w:rsidRPr="00114135">
        <w:rPr>
          <w:sz w:val="20"/>
        </w:rPr>
        <w:t xml:space="preserve">Задание. </w:t>
      </w:r>
      <w:r w:rsidRPr="00114135">
        <w:rPr>
          <w:bCs/>
          <w:sz w:val="20"/>
        </w:rPr>
        <w:t>Используя хвостовую рекурсию, разработать эффективную программу (</w:t>
      </w:r>
      <w:r w:rsidRPr="00114135">
        <w:rPr>
          <w:bCs/>
          <w:iCs/>
          <w:sz w:val="20"/>
          <w:u w:val="single"/>
        </w:rPr>
        <w:t>комментируя назначение аргументов</w:t>
      </w:r>
      <w:r w:rsidRPr="00114135">
        <w:rPr>
          <w:bCs/>
          <w:sz w:val="20"/>
        </w:rPr>
        <w:t>), позволяющую: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длину списка (по верхнему уровню);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сумму элементов числового списка;</w:t>
      </w:r>
    </w:p>
    <w:p w:rsidR="00114135" w:rsidRPr="00114135" w:rsidRDefault="00114135" w:rsidP="00114135">
      <w:pPr>
        <w:numPr>
          <w:ilvl w:val="0"/>
          <w:numId w:val="14"/>
        </w:numPr>
        <w:suppressAutoHyphens w:val="0"/>
        <w:contextualSpacing/>
        <w:rPr>
          <w:sz w:val="20"/>
        </w:rPr>
      </w:pPr>
      <w:r w:rsidRPr="00114135">
        <w:rPr>
          <w:sz w:val="20"/>
        </w:rPr>
        <w:t>Найти сумму элементов числового списка, стоящих на нечетных позициях исходного списка (нумерация от 0);</w:t>
      </w:r>
    </w:p>
    <w:p w:rsidR="00114135" w:rsidRPr="00114135" w:rsidRDefault="00114135" w:rsidP="00114135">
      <w:pPr>
        <w:suppressAutoHyphens w:val="0"/>
        <w:ind w:left="360"/>
        <w:rPr>
          <w:sz w:val="20"/>
        </w:rPr>
      </w:pPr>
      <w:r w:rsidRPr="00114135">
        <w:rPr>
          <w:sz w:val="20"/>
        </w:rPr>
        <w:t>Убедиться в правильности результатов.</w:t>
      </w:r>
    </w:p>
    <w:p w:rsidR="00114135" w:rsidRPr="00114135" w:rsidRDefault="00114135" w:rsidP="00114135">
      <w:pPr>
        <w:suppressAutoHyphens w:val="0"/>
        <w:rPr>
          <w:sz w:val="20"/>
        </w:rPr>
      </w:pPr>
      <w:r w:rsidRPr="00114135">
        <w:rPr>
          <w:sz w:val="20"/>
        </w:rPr>
        <w:t>Для одного из вариантов ВОПРОСА и одного из заданий составить таблицу, отражающую кон</w:t>
      </w:r>
      <w:r w:rsidR="007714A0">
        <w:rPr>
          <w:sz w:val="20"/>
        </w:rPr>
        <w:t xml:space="preserve">кретный порядок работы системы: </w:t>
      </w:r>
      <w:r w:rsidRPr="00114135">
        <w:rPr>
          <w:sz w:val="20"/>
        </w:rPr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f8"/>
        <w:tblW w:w="10658" w:type="dxa"/>
        <w:tblLook w:val="04A0" w:firstRow="1" w:lastRow="0" w:firstColumn="1" w:lastColumn="0" w:noHBand="0" w:noVBand="1"/>
      </w:tblPr>
      <w:tblGrid>
        <w:gridCol w:w="10658"/>
      </w:tblGrid>
      <w:tr w:rsidR="0082577A" w:rsidRPr="00114135" w:rsidTr="006F211C">
        <w:tc>
          <w:tcPr>
            <w:tcW w:w="10658" w:type="dxa"/>
          </w:tcPr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domains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list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 = integer*.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predicates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integer, integer).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clauses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([_|Tail],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 :-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+ 1,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Tail,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NextAnswer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).  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length(List, Length)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Length,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([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Head|Tail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 :-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Head,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 xml:space="preserve">Tail,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sum(List, Sum)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Sum,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 if list has even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lenght</w:t>
            </w:r>
            <w:proofErr w:type="spellEnd"/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 if list has odd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lenght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([_|[]],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([_|[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NextHead|NextTail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]],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CurSum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 +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NextHead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,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NextTail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FinalSum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NextSum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),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!.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 xml:space="preserve">(List, Sum) :- 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oddSumInner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List, Sum, 0).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>goal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Length_).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Length_=0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length(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[1, 2, 3], Length_).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Length_=3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lastRenderedPageBreak/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sum(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[-1, 1, 2],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Sum_=2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Sum_=0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Sum_=1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Sum_=1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2, 3],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Sum_=4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 xml:space="preserve">% </w:t>
            </w:r>
            <w:proofErr w:type="spellStart"/>
            <w:proofErr w:type="gramStart"/>
            <w:r w:rsidRPr="00486678">
              <w:rPr>
                <w:sz w:val="16"/>
                <w:szCs w:val="16"/>
                <w:lang w:val="en-US" w:eastAsia="ru-RU"/>
              </w:rPr>
              <w:t>oddSum</w:t>
            </w:r>
            <w:proofErr w:type="spellEnd"/>
            <w:r w:rsidRPr="00486678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486678">
              <w:rPr>
                <w:sz w:val="16"/>
                <w:szCs w:val="16"/>
                <w:lang w:val="en-US" w:eastAsia="ru-RU"/>
              </w:rPr>
              <w:t>[0, 1, 2, 3, 4], Sum_).</w:t>
            </w:r>
          </w:p>
          <w:p w:rsidR="00486678" w:rsidRPr="00486678" w:rsidRDefault="00486678" w:rsidP="00486678">
            <w:pPr>
              <w:spacing w:after="0"/>
              <w:rPr>
                <w:sz w:val="16"/>
                <w:szCs w:val="16"/>
                <w:lang w:val="en-US" w:eastAsia="ru-RU"/>
              </w:rPr>
            </w:pPr>
            <w:r w:rsidRPr="00486678">
              <w:rPr>
                <w:sz w:val="16"/>
                <w:szCs w:val="16"/>
                <w:lang w:val="en-US" w:eastAsia="ru-RU"/>
              </w:rPr>
              <w:tab/>
            </w:r>
            <w:r w:rsidRPr="00486678">
              <w:rPr>
                <w:sz w:val="16"/>
                <w:szCs w:val="16"/>
                <w:lang w:val="en-US" w:eastAsia="ru-RU"/>
              </w:rPr>
              <w:tab/>
              <w:t>% Sum_=4</w:t>
            </w:r>
          </w:p>
          <w:p w:rsidR="0082577A" w:rsidRPr="000241D9" w:rsidRDefault="00486678" w:rsidP="000241D9">
            <w:pPr>
              <w:spacing w:after="0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ab/>
            </w:r>
            <w:r>
              <w:rPr>
                <w:sz w:val="16"/>
                <w:szCs w:val="16"/>
                <w:lang w:val="en-US" w:eastAsia="ru-RU"/>
              </w:rPr>
              <w:tab/>
              <w:t>% 1 Solution</w:t>
            </w:r>
          </w:p>
        </w:tc>
      </w:tr>
    </w:tbl>
    <w:p w:rsidR="00486678" w:rsidRPr="00486678" w:rsidRDefault="00486678" w:rsidP="00072DAA">
      <w:pPr>
        <w:spacing w:after="0"/>
      </w:pPr>
    </w:p>
    <w:p w:rsidR="00072DAA" w:rsidRDefault="00072DAA" w:rsidP="00072DAA">
      <w:pPr>
        <w:spacing w:after="0"/>
        <w:rPr>
          <w:sz w:val="16"/>
          <w:szCs w:val="16"/>
          <w:lang w:val="en-US" w:eastAsia="ru-RU"/>
        </w:rPr>
      </w:pPr>
      <w:r>
        <w:rPr>
          <w:sz w:val="16"/>
          <w:szCs w:val="16"/>
          <w:lang w:eastAsia="ru-RU"/>
        </w:rPr>
        <w:t>Вопрос</w:t>
      </w:r>
      <w:r w:rsidRPr="00AC0127">
        <w:rPr>
          <w:sz w:val="16"/>
          <w:szCs w:val="16"/>
          <w:lang w:val="en-US" w:eastAsia="ru-RU"/>
        </w:rPr>
        <w:t xml:space="preserve">: </w:t>
      </w:r>
      <w:proofErr w:type="spellStart"/>
      <w:proofErr w:type="gramStart"/>
      <w:r w:rsidR="00486678" w:rsidRPr="00486678">
        <w:rPr>
          <w:sz w:val="16"/>
          <w:szCs w:val="16"/>
          <w:lang w:val="en-US" w:eastAsia="ru-RU"/>
        </w:rPr>
        <w:t>oddSum</w:t>
      </w:r>
      <w:proofErr w:type="spellEnd"/>
      <w:r w:rsidR="00486678" w:rsidRPr="00486678">
        <w:rPr>
          <w:sz w:val="16"/>
          <w:szCs w:val="16"/>
          <w:lang w:val="en-US" w:eastAsia="ru-RU"/>
        </w:rPr>
        <w:t>(</w:t>
      </w:r>
      <w:proofErr w:type="gramEnd"/>
      <w:r w:rsidR="00486678" w:rsidRPr="00486678">
        <w:rPr>
          <w:sz w:val="16"/>
          <w:szCs w:val="16"/>
          <w:lang w:val="en-US" w:eastAsia="ru-RU"/>
        </w:rPr>
        <w:t>[0, 1, 2], Sum_).</w:t>
      </w:r>
    </w:p>
    <w:p w:rsidR="00486678" w:rsidRPr="00FB32EB" w:rsidRDefault="00486678" w:rsidP="00072DAA">
      <w:pPr>
        <w:spacing w:after="0"/>
        <w:rPr>
          <w:sz w:val="16"/>
          <w:szCs w:val="16"/>
          <w:lang w:eastAsia="ru-RU"/>
        </w:rPr>
      </w:pPr>
      <w:bookmarkStart w:id="1" w:name="_GoBack"/>
      <w:bookmarkEnd w:id="1"/>
    </w:p>
    <w:tbl>
      <w:tblPr>
        <w:tblStyle w:val="23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260"/>
        <w:gridCol w:w="5528"/>
      </w:tblGrid>
      <w:tr w:rsidR="00FB32EB" w:rsidRPr="00B74967" w:rsidTr="007714A0">
        <w:tc>
          <w:tcPr>
            <w:tcW w:w="42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№ </w:t>
            </w:r>
            <w:r w:rsidRPr="00B74967">
              <w:rPr>
                <w:rFonts w:ascii="Consolas" w:hAnsi="Consolas"/>
                <w:sz w:val="16"/>
                <w:szCs w:val="16"/>
              </w:rPr>
              <w:t>шага</w:t>
            </w:r>
          </w:p>
        </w:tc>
        <w:tc>
          <w:tcPr>
            <w:tcW w:w="1559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Текущая резольвента–</w:t>
            </w:r>
            <w:r w:rsidRPr="00FB32EB">
              <w:rPr>
                <w:rFonts w:ascii="Consolas" w:hAnsi="Consolas"/>
                <w:sz w:val="16"/>
                <w:szCs w:val="16"/>
              </w:rPr>
              <w:t>ТР</w:t>
            </w:r>
          </w:p>
        </w:tc>
        <w:tc>
          <w:tcPr>
            <w:tcW w:w="3260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ТЦ, выбираемые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правила:  сравниваемые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термы, </w:t>
            </w:r>
            <w:r w:rsidRPr="00FB32EB">
              <w:rPr>
                <w:rFonts w:ascii="Consolas" w:hAnsi="Consolas"/>
                <w:sz w:val="16"/>
                <w:szCs w:val="16"/>
              </w:rPr>
              <w:t>подстановка</w:t>
            </w:r>
          </w:p>
        </w:tc>
        <w:tc>
          <w:tcPr>
            <w:tcW w:w="5528" w:type="dxa"/>
          </w:tcPr>
          <w:p w:rsidR="00FB32EB" w:rsidRPr="00FB32E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 xml:space="preserve">Дальнейшие действия с </w:t>
            </w: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FB32EB">
              <w:rPr>
                <w:rFonts w:ascii="Consolas" w:hAnsi="Consolas"/>
                <w:sz w:val="16"/>
                <w:szCs w:val="16"/>
              </w:rPr>
              <w:t>комментариями</w:t>
            </w:r>
          </w:p>
        </w:tc>
      </w:tr>
      <w:tr w:rsidR="00FB32EB" w:rsidRPr="00B74967" w:rsidTr="007714A0">
        <w:tc>
          <w:tcPr>
            <w:tcW w:w="421" w:type="dxa"/>
          </w:tcPr>
          <w:p w:rsidR="00FB32EB" w:rsidRPr="00B26BA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0</w:t>
            </w:r>
          </w:p>
        </w:tc>
        <w:tc>
          <w:tcPr>
            <w:tcW w:w="1559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Sum_)</w:t>
            </w:r>
          </w:p>
        </w:tc>
        <w:tc>
          <w:tcPr>
            <w:tcW w:w="3260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528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26BAB">
              <w:rPr>
                <w:rFonts w:ascii="Consolas" w:hAnsi="Consolas"/>
                <w:sz w:val="16"/>
                <w:szCs w:val="16"/>
              </w:rPr>
              <w:t xml:space="preserve">Запуск алгоритма унификации для </w:t>
            </w:r>
            <w:r>
              <w:rPr>
                <w:rFonts w:ascii="Consolas" w:hAnsi="Consolas"/>
                <w:sz w:val="16"/>
                <w:szCs w:val="16"/>
              </w:rPr>
              <w:t>вопроса</w:t>
            </w:r>
            <w:r w:rsidRPr="00B26BAB">
              <w:rPr>
                <w:rFonts w:ascii="Consolas" w:hAnsi="Consolas"/>
                <w:sz w:val="16"/>
                <w:szCs w:val="16"/>
              </w:rPr>
              <w:t>, с начала БЗ</w:t>
            </w:r>
          </w:p>
        </w:tc>
      </w:tr>
      <w:tr w:rsidR="00FB32EB" w:rsidRPr="00B74967" w:rsidTr="007714A0">
        <w:tc>
          <w:tcPr>
            <w:tcW w:w="421" w:type="dxa"/>
          </w:tcPr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:rsidR="00FB32EB" w:rsidRPr="00FB32E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FB32EB">
              <w:rPr>
                <w:rFonts w:ascii="Consolas" w:hAnsi="Consolas"/>
                <w:sz w:val="16"/>
                <w:szCs w:val="16"/>
              </w:rPr>
              <w:t xml:space="preserve">([0, 1, 2], </w:t>
            </w:r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Sum</w:t>
            </w:r>
            <w:r w:rsidRPr="00FB32EB">
              <w:rPr>
                <w:rFonts w:ascii="Consolas" w:hAnsi="Consolas"/>
                <w:sz w:val="16"/>
                <w:szCs w:val="16"/>
              </w:rPr>
              <w:t>_)</w:t>
            </w: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260" w:type="dxa"/>
          </w:tcPr>
          <w:p w:rsidR="00476AF2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FB32EB">
              <w:rPr>
                <w:rFonts w:ascii="Consolas" w:hAnsi="Consolas"/>
                <w:sz w:val="16"/>
                <w:szCs w:val="16"/>
                <w:lang w:val="en-US"/>
              </w:rPr>
              <w:t>([0, 1, 2], Sum_)=</w:t>
            </w:r>
            <w:r w:rsidR="00476AF2" w:rsidRPr="00476AF2">
              <w:rPr>
                <w:lang w:val="en-US"/>
              </w:rPr>
              <w:t xml:space="preserve">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lengthInner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FinalAnswer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>CurAnswer</w:t>
            </w:r>
            <w:proofErr w:type="spellEnd"/>
            <w:r w:rsidR="00476AF2"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:rsidR="00FB32EB" w:rsidRPr="006C658B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Сравнение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главных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функторов</w:t>
            </w:r>
            <w:r w:rsidRPr="006C658B">
              <w:rPr>
                <w:rFonts w:ascii="Consolas" w:hAnsi="Consolas"/>
                <w:sz w:val="16"/>
                <w:szCs w:val="16"/>
              </w:rPr>
              <w:t xml:space="preserve">:  </w:t>
            </w:r>
          </w:p>
          <w:p w:rsidR="00FB32EB" w:rsidRPr="006C658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FB32EB">
              <w:rPr>
                <w:rFonts w:ascii="Consolas" w:hAnsi="Consolas"/>
                <w:sz w:val="16"/>
                <w:szCs w:val="16"/>
              </w:rPr>
              <w:t>=</w:t>
            </w:r>
            <w:r>
              <w:t xml:space="preserve">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lengthInner</w:t>
            </w:r>
            <w:proofErr w:type="spellEnd"/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B74967">
              <w:rPr>
                <w:rFonts w:ascii="Consolas" w:hAnsi="Consolas"/>
                <w:sz w:val="16"/>
                <w:szCs w:val="16"/>
              </w:rPr>
              <w:t xml:space="preserve">Унификация неуспешна </w:t>
            </w:r>
          </w:p>
        </w:tc>
        <w:tc>
          <w:tcPr>
            <w:tcW w:w="5528" w:type="dxa"/>
          </w:tcPr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не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менятеся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(неуспешная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унификацияя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 xml:space="preserve"> с заголовком)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FB32EB" w:rsidRPr="00B74967" w:rsidRDefault="00FB32EB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Прямой ход</w:t>
            </w:r>
            <w:r w:rsidRPr="00B74967">
              <w:rPr>
                <w:rFonts w:ascii="Consolas" w:hAnsi="Consolas"/>
                <w:sz w:val="16"/>
                <w:szCs w:val="16"/>
              </w:rPr>
              <w:t>, переход к следующему предложению</w:t>
            </w:r>
            <w:r>
              <w:rPr>
                <w:rFonts w:ascii="Consolas" w:hAnsi="Consolas"/>
                <w:sz w:val="16"/>
                <w:szCs w:val="16"/>
              </w:rPr>
              <w:t xml:space="preserve"> БЗ</w:t>
            </w:r>
          </w:p>
        </w:tc>
      </w:tr>
      <w:tr w:rsidR="00476AF2" w:rsidRPr="00B74967" w:rsidTr="007714A0">
        <w:tc>
          <w:tcPr>
            <w:tcW w:w="421" w:type="dxa"/>
          </w:tcPr>
          <w:p w:rsidR="00476AF2" w:rsidRPr="00B74967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1559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476AF2" w:rsidRPr="00B74967" w:rsidTr="007714A0">
        <w:tc>
          <w:tcPr>
            <w:tcW w:w="421" w:type="dxa"/>
          </w:tcPr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:rsidR="00476AF2" w:rsidRPr="00FB32EB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([0, 1, 2], Sum_)</w:t>
            </w:r>
          </w:p>
        </w:tc>
        <w:tc>
          <w:tcPr>
            <w:tcW w:w="3260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([0, 1, 2], Sum_)=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 xml:space="preserve">(List, Sum) </w:t>
            </w:r>
          </w:p>
          <w:p w:rsidR="00476AF2" w:rsidRPr="0037459F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476AF2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r w:rsidRPr="00476AF2">
              <w:rPr>
                <w:rFonts w:ascii="Consolas" w:hAnsi="Consolas"/>
                <w:sz w:val="16"/>
                <w:szCs w:val="16"/>
                <w:lang w:val="en-US"/>
              </w:rPr>
              <w:t>List</w:t>
            </w:r>
            <w:proofErr w:type="gramEnd"/>
            <w:r w:rsidRPr="00476AF2">
              <w:rPr>
                <w:rFonts w:ascii="Consolas" w:hAnsi="Consolas"/>
                <w:sz w:val="16"/>
                <w:szCs w:val="16"/>
              </w:rPr>
              <w:t>=</w:t>
            </w:r>
            <w:r>
              <w:rPr>
                <w:rFonts w:ascii="Consolas" w:hAnsi="Consolas"/>
                <w:sz w:val="16"/>
                <w:szCs w:val="16"/>
              </w:rPr>
              <w:t>[0, 1, 2]</w:t>
            </w:r>
            <w:r w:rsidRPr="00476AF2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528" w:type="dxa"/>
          </w:tcPr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476AF2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476AF2">
              <w:rPr>
                <w:rFonts w:ascii="Consolas" w:hAnsi="Consolas"/>
                <w:sz w:val="16"/>
                <w:szCs w:val="16"/>
              </w:rPr>
              <w:t xml:space="preserve">[0, 1, 2],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_) телом найденного правила:</w:t>
            </w:r>
          </w:p>
          <w:p w:rsid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16"/>
                <w:szCs w:val="16"/>
              </w:rPr>
              <w:t>List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0)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476AF2" w:rsidRPr="00476AF2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D23AC" w:rsidRPr="001D23AC">
              <w:rPr>
                <w:rFonts w:ascii="Consolas" w:hAnsi="Consolas"/>
                <w:sz w:val="16"/>
                <w:szCs w:val="16"/>
              </w:rPr>
              <w:t>[0, 1, 2]</w:t>
            </w:r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0)</w:t>
            </w:r>
          </w:p>
          <w:p w:rsidR="00476AF2" w:rsidRPr="001D23AC" w:rsidRDefault="00476AF2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  <w:lang w:val="en-US"/>
              </w:rPr>
              <w:t>c</w:t>
            </w:r>
            <w:r w:rsidR="001D23AC"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23AC">
              <w:rPr>
                <w:rFonts w:ascii="Consolas" w:hAnsi="Consolas"/>
                <w:sz w:val="16"/>
                <w:szCs w:val="16"/>
              </w:rPr>
              <w:t>начала БЗ</w:t>
            </w:r>
          </w:p>
        </w:tc>
      </w:tr>
      <w:tr w:rsidR="001D23AC" w:rsidRPr="00B74967" w:rsidTr="007714A0">
        <w:tc>
          <w:tcPr>
            <w:tcW w:w="421" w:type="dxa"/>
          </w:tcPr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1559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1D23AC" w:rsidRPr="001D23AC" w:rsidTr="007714A0">
        <w:tc>
          <w:tcPr>
            <w:tcW w:w="421" w:type="dxa"/>
          </w:tcPr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1559" w:type="dxa"/>
          </w:tcPr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3260" w:type="dxa"/>
          </w:tcPr>
          <w:p w:rsidR="001D23AC" w:rsidRP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528" w:type="dxa"/>
          </w:tcPr>
          <w:p w:rsidR="001D23AC" w:rsidRPr="001D23AC" w:rsidRDefault="001D23AC" w:rsidP="00476AF2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7714A0">
        <w:tc>
          <w:tcPr>
            <w:tcW w:w="421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1559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326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([_|[]],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52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7714A0">
        <w:tc>
          <w:tcPr>
            <w:tcW w:w="421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1559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Sum, 0)</w:t>
            </w:r>
          </w:p>
        </w:tc>
        <w:tc>
          <w:tcPr>
            <w:tcW w:w="3260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([0, 1, 2], Sum, 0)=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([_|[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NextHead|NextTail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 xml:space="preserve">{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=1,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NextTail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=</w:t>
            </w:r>
            <w:r w:rsidRPr="007714A0">
              <w:rPr>
                <w:rFonts w:ascii="Consolas" w:hAnsi="Consolas"/>
                <w:sz w:val="16"/>
                <w:szCs w:val="16"/>
              </w:rPr>
              <w:t xml:space="preserve">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>=0}</w:t>
            </w:r>
          </w:p>
        </w:tc>
        <w:tc>
          <w:tcPr>
            <w:tcW w:w="5528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23AC">
              <w:rPr>
                <w:rFonts w:ascii="Consolas" w:hAnsi="Consolas"/>
                <w:sz w:val="16"/>
                <w:szCs w:val="16"/>
              </w:rPr>
              <w:t xml:space="preserve">[0, 1, 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, 0)</w:t>
            </w:r>
            <w:r w:rsidRPr="00476AF2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NextHead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NextTail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7714A0">
              <w:rPr>
                <w:rFonts w:ascii="Consolas" w:hAnsi="Consolas"/>
                <w:sz w:val="16"/>
                <w:szCs w:val="16"/>
              </w:rPr>
              <w:t>0</w:t>
            </w:r>
            <w:r w:rsidRPr="007714A0">
              <w:rPr>
                <w:rFonts w:ascii="Consolas" w:hAnsi="Consolas"/>
                <w:sz w:val="16"/>
                <w:szCs w:val="16"/>
              </w:rPr>
              <w:t xml:space="preserve"> + </w:t>
            </w:r>
            <w:r w:rsidRPr="007714A0">
              <w:rPr>
                <w:rFonts w:ascii="Consolas" w:hAnsi="Consolas"/>
                <w:sz w:val="16"/>
                <w:szCs w:val="16"/>
              </w:rPr>
              <w:t>1</w:t>
            </w:r>
            <w:r w:rsidRPr="007714A0">
              <w:rPr>
                <w:rFonts w:ascii="Consolas" w:hAnsi="Consolas"/>
                <w:sz w:val="16"/>
                <w:szCs w:val="16"/>
              </w:rPr>
              <w:t>,</w:t>
            </w: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oddSumInner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>(</w:t>
            </w:r>
            <w:r w:rsidRPr="007714A0">
              <w:rPr>
                <w:rFonts w:ascii="Consolas" w:hAnsi="Consolas"/>
                <w:sz w:val="16"/>
                <w:szCs w:val="16"/>
              </w:rPr>
              <w:t>[2]</w:t>
            </w:r>
            <w:r w:rsidRPr="007714A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1D23AC" w:rsidRPr="001D23AC" w:rsidTr="007714A0">
        <w:tc>
          <w:tcPr>
            <w:tcW w:w="421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lastRenderedPageBreak/>
              <w:t>20</w:t>
            </w:r>
          </w:p>
        </w:tc>
        <w:tc>
          <w:tcPr>
            <w:tcW w:w="1559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0 + 1,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3260" w:type="dxa"/>
          </w:tcPr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r w:rsidRPr="007714A0">
              <w:rPr>
                <w:rFonts w:ascii="Consolas" w:hAnsi="Consolas"/>
                <w:sz w:val="16"/>
                <w:szCs w:val="16"/>
              </w:rPr>
              <w:t xml:space="preserve"> = 0 + 1</w:t>
            </w: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714A0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7714A0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7714A0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7714A0">
              <w:rPr>
                <w:rFonts w:ascii="Consolas" w:hAnsi="Consolas"/>
                <w:sz w:val="16"/>
                <w:szCs w:val="16"/>
              </w:rPr>
              <w:t xml:space="preserve">{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NextSum</w:t>
            </w:r>
            <w:proofErr w:type="spellEnd"/>
            <w:proofErr w:type="gramEnd"/>
            <w:r w:rsidRPr="007714A0">
              <w:rPr>
                <w:rFonts w:ascii="Consolas" w:hAnsi="Consolas"/>
                <w:sz w:val="16"/>
                <w:szCs w:val="16"/>
              </w:rPr>
              <w:t>=1</w:t>
            </w:r>
            <w:r w:rsidRPr="007714A0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52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1. Редукция верхней подцели: </w:t>
            </w:r>
            <w:r>
              <w:rPr>
                <w:rFonts w:ascii="Consolas" w:hAnsi="Consolas"/>
                <w:sz w:val="16"/>
                <w:szCs w:val="16"/>
              </w:rPr>
              <w:t>удаление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NextSum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 xml:space="preserve"> = 0 + 1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Fi</w:t>
            </w:r>
            <w:r w:rsidRPr="001D23AC">
              <w:rPr>
                <w:rFonts w:ascii="Consolas" w:hAnsi="Consolas"/>
                <w:sz w:val="16"/>
                <w:szCs w:val="16"/>
              </w:rPr>
              <w:t>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 xml:space="preserve">,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 c начала БЗ</w:t>
            </w:r>
          </w:p>
        </w:tc>
      </w:tr>
      <w:tr w:rsidR="001D23AC" w:rsidRPr="001D23AC" w:rsidTr="007714A0">
        <w:tc>
          <w:tcPr>
            <w:tcW w:w="421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…</w:t>
            </w:r>
          </w:p>
        </w:tc>
        <w:tc>
          <w:tcPr>
            <w:tcW w:w="1559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552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1D23AC" w:rsidRPr="001D23AC" w:rsidTr="007714A0">
        <w:tc>
          <w:tcPr>
            <w:tcW w:w="421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1559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1), 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3260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([2], Fi-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1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)=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)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Унификация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неуспешна</w:t>
            </w:r>
            <w:proofErr w:type="spellEnd"/>
          </w:p>
        </w:tc>
        <w:tc>
          <w:tcPr>
            <w:tcW w:w="5528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Прямой ход, переход к следующему предложению </w:t>
            </w: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БЗ</w:t>
            </w:r>
          </w:p>
        </w:tc>
      </w:tr>
      <w:tr w:rsidR="001D23AC" w:rsidRPr="001D23AC" w:rsidTr="007714A0">
        <w:tc>
          <w:tcPr>
            <w:tcW w:w="421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1559" w:type="dxa"/>
          </w:tcPr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([2], Fi-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1),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!.</w:t>
            </w:r>
          </w:p>
        </w:tc>
        <w:tc>
          <w:tcPr>
            <w:tcW w:w="3260" w:type="dxa"/>
          </w:tcPr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>, 1)=</w:t>
            </w:r>
            <w:proofErr w:type="spellStart"/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oddSumInner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([_|[]],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)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1D23AC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1D23AC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</w:rPr>
              <w:t>CurSum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=1</w:t>
            </w:r>
            <w:r w:rsidRPr="001D23AC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23AC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528" w:type="dxa"/>
          </w:tcPr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Верхняя подцель успешно унифицировалась с заголовком правила. Образование новой резольвенты: 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1. Редукция верхней подцели: замена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([2],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Fi-nalSum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1)</w:t>
            </w:r>
            <w:r w:rsidRPr="00476AF2">
              <w:rPr>
                <w:rFonts w:ascii="Consolas" w:hAnsi="Consolas"/>
                <w:sz w:val="16"/>
                <w:szCs w:val="16"/>
              </w:rPr>
              <w:t xml:space="preserve"> телом найденного правила:</w:t>
            </w: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CurSum</w:t>
            </w:r>
            <w:proofErr w:type="spellEnd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,</w:t>
            </w:r>
          </w:p>
          <w:p w:rsidR="001D23AC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!</w:t>
            </w: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476AF2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>конъюнкции целе</w:t>
            </w:r>
            <w:r>
              <w:rPr>
                <w:rFonts w:ascii="Consolas" w:hAnsi="Consolas"/>
                <w:sz w:val="16"/>
                <w:szCs w:val="16"/>
              </w:rPr>
              <w:t>й. Новое состояние резольвенты:</w:t>
            </w:r>
          </w:p>
          <w:p w:rsidR="001D23AC" w:rsidRPr="00945E49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23AC">
              <w:rPr>
                <w:rFonts w:ascii="Consolas" w:hAnsi="Consolas"/>
                <w:sz w:val="16"/>
                <w:szCs w:val="16"/>
                <w:lang w:val="en-US"/>
              </w:rPr>
              <w:t>FinalSum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945E49">
              <w:rPr>
                <w:rFonts w:ascii="Consolas" w:hAnsi="Consolas"/>
                <w:sz w:val="16"/>
                <w:szCs w:val="16"/>
              </w:rPr>
              <w:t>,</w:t>
            </w:r>
          </w:p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!,</w:t>
            </w:r>
          </w:p>
          <w:p w:rsidR="001D23AC" w:rsidRPr="00945E49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  <w:p w:rsid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1D23AC" w:rsidRPr="001D23AC" w:rsidRDefault="001D23AC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476AF2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476AF2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476AF2">
              <w:rPr>
                <w:rFonts w:ascii="Consolas" w:hAnsi="Consolas"/>
                <w:sz w:val="16"/>
                <w:szCs w:val="16"/>
              </w:rPr>
              <w:t>, запуск алгоритма унификации для верхней подцели</w:t>
            </w:r>
          </w:p>
        </w:tc>
      </w:tr>
      <w:tr w:rsidR="00945E49" w:rsidRPr="001D23AC" w:rsidTr="007714A0">
        <w:tc>
          <w:tcPr>
            <w:tcW w:w="421" w:type="dxa"/>
          </w:tcPr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1559" w:type="dxa"/>
          </w:tcPr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 = 1,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</w:tc>
        <w:tc>
          <w:tcPr>
            <w:tcW w:w="3260" w:type="dxa"/>
          </w:tcPr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</w:t>
            </w:r>
            <w:r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1</w:t>
            </w:r>
          </w:p>
          <w:p w:rsidR="00945E49" w:rsidRDefault="00945E49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Унификация успешна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Подстановка: </w:t>
            </w:r>
            <w:proofErr w:type="gramStart"/>
            <w:r w:rsidRPr="00945E49">
              <w:rPr>
                <w:rFonts w:ascii="Consolas" w:hAnsi="Consolas"/>
                <w:sz w:val="16"/>
                <w:szCs w:val="16"/>
              </w:rPr>
              <w:t xml:space="preserve">{ </w:t>
            </w: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proofErr w:type="gramEnd"/>
            <w:r w:rsidRPr="00945E49">
              <w:rPr>
                <w:rFonts w:ascii="Consolas" w:hAnsi="Consolas"/>
                <w:sz w:val="16"/>
                <w:szCs w:val="16"/>
              </w:rPr>
              <w:t xml:space="preserve"> = 1</w:t>
            </w:r>
            <w:r w:rsidRPr="00945E49">
              <w:rPr>
                <w:rFonts w:ascii="Consolas" w:hAnsi="Consolas"/>
                <w:sz w:val="16"/>
                <w:szCs w:val="16"/>
              </w:rPr>
              <w:t>}</w:t>
            </w:r>
          </w:p>
        </w:tc>
        <w:tc>
          <w:tcPr>
            <w:tcW w:w="5528" w:type="dxa"/>
          </w:tcPr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Образование новой резольвенты: 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1. Редукция верхней подцели: удаление </w:t>
            </w:r>
          </w:p>
          <w:p w:rsid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FinalSum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= 1</w:t>
            </w:r>
          </w:p>
          <w:p w:rsidR="0037459F" w:rsidRP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2. Применение подстановки к полученной 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конъюнкции целей. Новое состояние резольвенты: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945E49" w:rsidRDefault="0037459F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!,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>!.</w:t>
            </w:r>
          </w:p>
          <w:p w:rsidR="00945E49" w:rsidRPr="00945E49" w:rsidRDefault="00945E49" w:rsidP="00945E49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945E49" w:rsidRPr="00476AF2" w:rsidRDefault="00945E49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945E49">
              <w:rPr>
                <w:rFonts w:ascii="Consolas" w:hAnsi="Consolas"/>
                <w:sz w:val="16"/>
                <w:szCs w:val="16"/>
              </w:rPr>
              <w:t xml:space="preserve">Резольвента </w:t>
            </w:r>
            <w:proofErr w:type="spellStart"/>
            <w:r w:rsidRPr="00945E49">
              <w:rPr>
                <w:rFonts w:ascii="Consolas" w:hAnsi="Consolas"/>
                <w:sz w:val="16"/>
                <w:szCs w:val="16"/>
              </w:rPr>
              <w:t>непуста</w:t>
            </w:r>
            <w:proofErr w:type="spellEnd"/>
            <w:r w:rsidRPr="00945E49">
              <w:rPr>
                <w:rFonts w:ascii="Consolas" w:hAnsi="Consolas"/>
                <w:sz w:val="16"/>
                <w:szCs w:val="16"/>
              </w:rPr>
              <w:t xml:space="preserve">, запуск алгоритма унификации для верхней подцели </w:t>
            </w:r>
          </w:p>
        </w:tc>
      </w:tr>
      <w:tr w:rsidR="0037459F" w:rsidRPr="001D23AC" w:rsidTr="007714A0">
        <w:tc>
          <w:tcPr>
            <w:tcW w:w="421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1559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37459F">
              <w:rPr>
                <w:rFonts w:ascii="Consolas" w:hAnsi="Consolas"/>
                <w:sz w:val="16"/>
                <w:szCs w:val="16"/>
              </w:rPr>
              <w:t>!,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 w:rsidRPr="0037459F">
              <w:rPr>
                <w:rFonts w:ascii="Consolas" w:hAnsi="Consolas"/>
                <w:sz w:val="16"/>
                <w:szCs w:val="16"/>
              </w:rPr>
              <w:t>!.</w:t>
            </w:r>
          </w:p>
        </w:tc>
        <w:tc>
          <w:tcPr>
            <w:tcW w:w="3260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  <w:p w:rsidR="0037459F" w:rsidRPr="00945E49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</w:tc>
        <w:tc>
          <w:tcPr>
            <w:tcW w:w="5528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Встречен системный предикат отсечения, который на обратном ходе запрещает использование других правил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проц</w:t>
            </w:r>
            <w:r w:rsidRPr="0037459F">
              <w:rPr>
                <w:rFonts w:ascii="Consolas" w:hAnsi="Consolas"/>
                <w:sz w:val="16"/>
                <w:szCs w:val="16"/>
              </w:rPr>
              <w:t>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 Редукция верхней подцели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37459F" w:rsidRPr="001D23AC" w:rsidTr="007714A0">
        <w:tc>
          <w:tcPr>
            <w:tcW w:w="421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1559" w:type="dxa"/>
          </w:tcPr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</w:tc>
        <w:tc>
          <w:tcPr>
            <w:tcW w:w="3260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!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Истина</w:t>
            </w:r>
          </w:p>
        </w:tc>
        <w:tc>
          <w:tcPr>
            <w:tcW w:w="5528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Встречен системный предикат отсечения, который на обратном ходе запрещает использование других правил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проц</w:t>
            </w:r>
            <w:r w:rsidRPr="0037459F">
              <w:rPr>
                <w:rFonts w:ascii="Consolas" w:hAnsi="Consolas"/>
                <w:sz w:val="16"/>
                <w:szCs w:val="16"/>
              </w:rPr>
              <w:t>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 Редукция верхней подцели</w:t>
            </w:r>
          </w:p>
          <w:p w:rsidR="0037459F" w:rsidRPr="00945E49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  <w:tr w:rsidR="0037459F" w:rsidRPr="001D23AC" w:rsidTr="007714A0">
        <w:tc>
          <w:tcPr>
            <w:tcW w:w="421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32</w:t>
            </w:r>
          </w:p>
        </w:tc>
        <w:tc>
          <w:tcPr>
            <w:tcW w:w="1559" w:type="dxa"/>
          </w:tcPr>
          <w:p w:rsidR="0037459F" w:rsidRP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260" w:type="dxa"/>
          </w:tcPr>
          <w:p w:rsidR="0037459F" w:rsidRDefault="0037459F" w:rsidP="001D23AC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5528" w:type="dxa"/>
          </w:tcPr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Резольвента пуста. </w:t>
            </w:r>
            <w:r w:rsidRPr="0037459F">
              <w:rPr>
                <w:rFonts w:ascii="Consolas" w:hAnsi="Consolas"/>
                <w:sz w:val="16"/>
                <w:szCs w:val="16"/>
              </w:rPr>
              <w:t xml:space="preserve">Решение найдено: формируется подстановка </w:t>
            </w:r>
            <w:proofErr w:type="gramStart"/>
            <w:r w:rsidRPr="0037459F">
              <w:rPr>
                <w:rFonts w:ascii="Consolas" w:hAnsi="Consolas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_=1} в каче</w:t>
            </w:r>
            <w:r w:rsidRPr="0037459F">
              <w:rPr>
                <w:rFonts w:ascii="Consolas" w:hAnsi="Consolas"/>
                <w:sz w:val="16"/>
                <w:szCs w:val="16"/>
              </w:rPr>
              <w:t>стве побочного эффекта.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</w:p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</w:p>
          <w:p w:rsidR="0037459F" w:rsidRDefault="0037459F" w:rsidP="0037459F">
            <w:pPr>
              <w:spacing w:after="0"/>
              <w:jc w:val="left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Восстановление предыдущего состояния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резольты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дважды !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37459F">
              <w:rPr>
                <w:rFonts w:ascii="Consolas" w:hAnsi="Consolas"/>
                <w:sz w:val="16"/>
                <w:szCs w:val="16"/>
              </w:rPr>
              <w:t xml:space="preserve">запрещает использование других правил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процдуры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oddSumInner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, новое состояние резольвенты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oddSum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 xml:space="preserve">([0, 1, 2], </w:t>
            </w:r>
            <w:proofErr w:type="spellStart"/>
            <w:r w:rsidRPr="0037459F">
              <w:rPr>
                <w:rFonts w:ascii="Consolas" w:hAnsi="Consolas"/>
                <w:sz w:val="16"/>
                <w:szCs w:val="16"/>
              </w:rPr>
              <w:t>Sum</w:t>
            </w:r>
            <w:proofErr w:type="spellEnd"/>
            <w:r w:rsidRPr="0037459F">
              <w:rPr>
                <w:rFonts w:ascii="Consolas" w:hAnsi="Consolas"/>
                <w:sz w:val="16"/>
                <w:szCs w:val="16"/>
              </w:rPr>
              <w:t>_)</w:t>
            </w:r>
            <w:r>
              <w:rPr>
                <w:rFonts w:ascii="Consolas" w:hAnsi="Consolas"/>
                <w:sz w:val="16"/>
                <w:szCs w:val="16"/>
              </w:rPr>
              <w:t>. Конец БЗ. Завершение работы.</w:t>
            </w:r>
          </w:p>
        </w:tc>
      </w:tr>
    </w:tbl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p w:rsidR="00486678" w:rsidRPr="001D23AC" w:rsidRDefault="00486678" w:rsidP="00072DAA">
      <w:pPr>
        <w:spacing w:after="0"/>
        <w:rPr>
          <w:sz w:val="16"/>
          <w:szCs w:val="16"/>
          <w:lang w:eastAsia="ru-RU"/>
        </w:rPr>
      </w:pPr>
    </w:p>
    <w:sectPr w:rsidR="00486678" w:rsidRPr="001D23AC" w:rsidSect="006F211C">
      <w:footerReference w:type="default" r:id="rId9"/>
      <w:pgSz w:w="11906" w:h="16838"/>
      <w:pgMar w:top="720" w:right="720" w:bottom="720" w:left="720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A1" w:rsidRDefault="00526CA1">
      <w:pPr>
        <w:spacing w:after="0"/>
      </w:pPr>
      <w:r>
        <w:separator/>
      </w:r>
    </w:p>
  </w:endnote>
  <w:endnote w:type="continuationSeparator" w:id="0">
    <w:p w:rsidR="00526CA1" w:rsidRDefault="00526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507983"/>
      <w:docPartObj>
        <w:docPartGallery w:val="Page Numbers (Bottom of Page)"/>
        <w:docPartUnique/>
      </w:docPartObj>
    </w:sdtPr>
    <w:sdtContent>
      <w:p w:rsidR="00476AF2" w:rsidRDefault="00476AF2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714A0">
          <w:rPr>
            <w:noProof/>
          </w:rPr>
          <w:t>4</w:t>
        </w:r>
        <w:r>
          <w:fldChar w:fldCharType="end"/>
        </w:r>
      </w:p>
    </w:sdtContent>
  </w:sdt>
  <w:p w:rsidR="00476AF2" w:rsidRDefault="00476AF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A1" w:rsidRDefault="00526CA1">
      <w:pPr>
        <w:spacing w:after="0"/>
      </w:pPr>
      <w:r>
        <w:separator/>
      </w:r>
    </w:p>
  </w:footnote>
  <w:footnote w:type="continuationSeparator" w:id="0">
    <w:p w:rsidR="00526CA1" w:rsidRDefault="00526C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02CFC"/>
    <w:multiLevelType w:val="multilevel"/>
    <w:tmpl w:val="0FB014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331ED"/>
    <w:multiLevelType w:val="multilevel"/>
    <w:tmpl w:val="15AA9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394E1B86"/>
    <w:multiLevelType w:val="multilevel"/>
    <w:tmpl w:val="7EE80154"/>
    <w:lvl w:ilvl="0">
      <w:start w:val="1"/>
      <w:numFmt w:val="decimal"/>
      <w:pStyle w:val="Heading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57776"/>
    <w:multiLevelType w:val="multilevel"/>
    <w:tmpl w:val="56E04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5AD2726E"/>
    <w:multiLevelType w:val="multilevel"/>
    <w:tmpl w:val="477A67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2520A"/>
    <w:multiLevelType w:val="multilevel"/>
    <w:tmpl w:val="18E449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A"/>
    <w:rsid w:val="000241D9"/>
    <w:rsid w:val="00050B8E"/>
    <w:rsid w:val="00072DAA"/>
    <w:rsid w:val="00073D2E"/>
    <w:rsid w:val="000B6D04"/>
    <w:rsid w:val="0011303D"/>
    <w:rsid w:val="00114135"/>
    <w:rsid w:val="00137E9B"/>
    <w:rsid w:val="0017383E"/>
    <w:rsid w:val="001D10D3"/>
    <w:rsid w:val="001D23AC"/>
    <w:rsid w:val="002C0C3A"/>
    <w:rsid w:val="002F1AF5"/>
    <w:rsid w:val="0030254E"/>
    <w:rsid w:val="0037459F"/>
    <w:rsid w:val="003B006E"/>
    <w:rsid w:val="003B0775"/>
    <w:rsid w:val="003C71E2"/>
    <w:rsid w:val="00425DE8"/>
    <w:rsid w:val="00437AFD"/>
    <w:rsid w:val="0046405E"/>
    <w:rsid w:val="00471679"/>
    <w:rsid w:val="00476AF2"/>
    <w:rsid w:val="00486678"/>
    <w:rsid w:val="004A6A42"/>
    <w:rsid w:val="004B0D0C"/>
    <w:rsid w:val="004B2813"/>
    <w:rsid w:val="00526CA1"/>
    <w:rsid w:val="005A329A"/>
    <w:rsid w:val="005A7B70"/>
    <w:rsid w:val="006A36E3"/>
    <w:rsid w:val="006A4BB2"/>
    <w:rsid w:val="006C658B"/>
    <w:rsid w:val="006F211C"/>
    <w:rsid w:val="007137D2"/>
    <w:rsid w:val="007141B3"/>
    <w:rsid w:val="00714F21"/>
    <w:rsid w:val="0073064D"/>
    <w:rsid w:val="00737B1D"/>
    <w:rsid w:val="007714A0"/>
    <w:rsid w:val="0082577A"/>
    <w:rsid w:val="0084241F"/>
    <w:rsid w:val="008622FF"/>
    <w:rsid w:val="0091270C"/>
    <w:rsid w:val="0092555F"/>
    <w:rsid w:val="00945E49"/>
    <w:rsid w:val="009773CC"/>
    <w:rsid w:val="009F3146"/>
    <w:rsid w:val="00AC0127"/>
    <w:rsid w:val="00B0023A"/>
    <w:rsid w:val="00B20CED"/>
    <w:rsid w:val="00B26BAB"/>
    <w:rsid w:val="00B4168B"/>
    <w:rsid w:val="00B60DA5"/>
    <w:rsid w:val="00B74967"/>
    <w:rsid w:val="00B80CA4"/>
    <w:rsid w:val="00B92BB4"/>
    <w:rsid w:val="00BB5AC7"/>
    <w:rsid w:val="00BC349B"/>
    <w:rsid w:val="00C21EF9"/>
    <w:rsid w:val="00C333FA"/>
    <w:rsid w:val="00CD2A4F"/>
    <w:rsid w:val="00D13428"/>
    <w:rsid w:val="00D16868"/>
    <w:rsid w:val="00D84BA7"/>
    <w:rsid w:val="00DA34DC"/>
    <w:rsid w:val="00DC6860"/>
    <w:rsid w:val="00E92FB0"/>
    <w:rsid w:val="00F616F7"/>
    <w:rsid w:val="00F76D91"/>
    <w:rsid w:val="00FB32EB"/>
    <w:rsid w:val="00FB60C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9F8C7-372F-40CA-B0C9-676E870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29A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Heading"/>
    <w:next w:val="a"/>
    <w:link w:val="30"/>
    <w:uiPriority w:val="9"/>
    <w:unhideWhenUsed/>
    <w:qFormat/>
    <w:rsid w:val="00FF18BA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B387D"/>
    <w:rPr>
      <w:rFonts w:ascii="Times New Roman" w:hAnsi="Times New Roman"/>
      <w:sz w:val="28"/>
    </w:rPr>
  </w:style>
  <w:style w:type="character" w:styleId="a5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">
    <w:name w:val="Prog Знак"/>
    <w:basedOn w:val="a0"/>
    <w:link w:val="Prog"/>
    <w:qFormat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6">
    <w:name w:val="Emphasis"/>
    <w:basedOn w:val="a0"/>
    <w:uiPriority w:val="20"/>
    <w:qFormat/>
    <w:rsid w:val="003D1630"/>
    <w:rPr>
      <w:i/>
      <w:iCs/>
    </w:rPr>
  </w:style>
  <w:style w:type="character" w:styleId="a7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3D1630"/>
    <w:rPr>
      <w:b/>
      <w:bCs/>
    </w:rPr>
  </w:style>
  <w:style w:type="character" w:customStyle="1" w:styleId="20">
    <w:name w:val="Цитата 2 Знак"/>
    <w:basedOn w:val="a0"/>
    <w:link w:val="21"/>
    <w:uiPriority w:val="29"/>
    <w:qFormat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a9">
    <w:name w:val="Выделенная цитата Знак"/>
    <w:basedOn w:val="a0"/>
    <w:uiPriority w:val="30"/>
    <w:qFormat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a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character" w:customStyle="1" w:styleId="ab">
    <w:name w:val="Подзаголовок Знак"/>
    <w:basedOn w:val="a0"/>
    <w:uiPriority w:val="11"/>
    <w:qFormat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qFormat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ograms">
    <w:name w:val="Programs Знак"/>
    <w:basedOn w:val="a0"/>
    <w:link w:val="Programs"/>
    <w:qFormat/>
    <w:rsid w:val="003D1630"/>
    <w:rPr>
      <w:rFonts w:ascii="Consolas" w:hAnsi="Consolas"/>
      <w:sz w:val="21"/>
    </w:rPr>
  </w:style>
  <w:style w:type="character" w:styleId="ac">
    <w:name w:val="Placeholder Text"/>
    <w:basedOn w:val="a0"/>
    <w:uiPriority w:val="99"/>
    <w:semiHidden/>
    <w:qFormat/>
    <w:rsid w:val="003029FF"/>
    <w:rPr>
      <w:color w:val="808080"/>
    </w:rPr>
  </w:style>
  <w:style w:type="character" w:customStyle="1" w:styleId="ad">
    <w:name w:val="Текст концевой сноски Знак"/>
    <w:basedOn w:val="a0"/>
    <w:uiPriority w:val="99"/>
    <w:semiHidden/>
    <w:qFormat/>
    <w:rsid w:val="002F03B2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03B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pl-s">
    <w:name w:val="pl-s"/>
    <w:basedOn w:val="a0"/>
    <w:qFormat/>
    <w:rsid w:val="00E5115F"/>
  </w:style>
  <w:style w:type="character" w:customStyle="1" w:styleId="pl-c1">
    <w:name w:val="pl-c1"/>
    <w:basedOn w:val="a0"/>
    <w:qFormat/>
    <w:rsid w:val="00E5115F"/>
  </w:style>
  <w:style w:type="paragraph" w:customStyle="1" w:styleId="Heading">
    <w:name w:val="Heading"/>
    <w:basedOn w:val="ae"/>
    <w:next w:val="af"/>
    <w:qFormat/>
    <w:rsid w:val="00FF18BA"/>
    <w:pPr>
      <w:numPr>
        <w:numId w:val="4"/>
      </w:numPr>
    </w:pPr>
    <w:rPr>
      <w:b/>
      <w:sz w:val="20"/>
      <w:szCs w:val="20"/>
    </w:rPr>
  </w:style>
  <w:style w:type="paragraph" w:styleId="af">
    <w:name w:val="Body Text"/>
    <w:basedOn w:val="a"/>
    <w:link w:val="af0"/>
    <w:pPr>
      <w:spacing w:after="140" w:line="276" w:lineRule="auto"/>
    </w:pPr>
  </w:style>
  <w:style w:type="paragraph" w:styleId="af1">
    <w:name w:val="List"/>
    <w:basedOn w:val="af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link w:val="11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f4">
    <w:name w:val="footer"/>
    <w:basedOn w:val="a"/>
    <w:link w:val="12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0">
    <w:name w:val="Prog"/>
    <w:basedOn w:val="a"/>
    <w:qFormat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22">
    <w:name w:val="Quote"/>
    <w:basedOn w:val="a"/>
    <w:next w:val="a"/>
    <w:link w:val="210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13"/>
    <w:uiPriority w:val="30"/>
    <w:qFormat/>
    <w:rsid w:val="003D16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f6">
    <w:name w:val="Subtitle"/>
    <w:basedOn w:val="a"/>
    <w:next w:val="a"/>
    <w:link w:val="14"/>
    <w:uiPriority w:val="11"/>
    <w:qFormat/>
    <w:rsid w:val="003D163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customStyle="1" w:styleId="Programs0">
    <w:name w:val="Programs"/>
    <w:basedOn w:val="a"/>
    <w:qFormat/>
    <w:rsid w:val="003D1630"/>
    <w:pPr>
      <w:spacing w:after="0"/>
    </w:pPr>
    <w:rPr>
      <w:rFonts w:ascii="Consolas" w:hAnsi="Consolas"/>
      <w:sz w:val="21"/>
    </w:rPr>
  </w:style>
  <w:style w:type="paragraph" w:styleId="af7">
    <w:name w:val="endnote text"/>
    <w:basedOn w:val="a"/>
    <w:link w:val="15"/>
    <w:uiPriority w:val="99"/>
    <w:semiHidden/>
    <w:unhideWhenUsed/>
    <w:rsid w:val="002F03B2"/>
    <w:pPr>
      <w:spacing w:after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8">
    <w:name w:val="Table Grid"/>
    <w:basedOn w:val="a1"/>
    <w:uiPriority w:val="39"/>
    <w:rsid w:val="0006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F18BA"/>
    <w:rPr>
      <w:rFonts w:ascii="Times New Roman" w:hAnsi="Times New Roman"/>
      <w:b/>
      <w:szCs w:val="20"/>
    </w:rPr>
  </w:style>
  <w:style w:type="numbering" w:customStyle="1" w:styleId="16">
    <w:name w:val="Нет списка1"/>
    <w:next w:val="a2"/>
    <w:uiPriority w:val="99"/>
    <w:semiHidden/>
    <w:unhideWhenUsed/>
    <w:rsid w:val="009773CC"/>
  </w:style>
  <w:style w:type="character" w:customStyle="1" w:styleId="af0">
    <w:name w:val="Основной текст Знак"/>
    <w:basedOn w:val="a0"/>
    <w:link w:val="af"/>
    <w:rsid w:val="009773CC"/>
    <w:rPr>
      <w:rFonts w:ascii="Times New Roman" w:hAnsi="Times New Roman"/>
      <w:sz w:val="28"/>
    </w:rPr>
  </w:style>
  <w:style w:type="character" w:customStyle="1" w:styleId="11">
    <w:name w:val="Верхний колонтитул Знак1"/>
    <w:basedOn w:val="a0"/>
    <w:link w:val="af3"/>
    <w:uiPriority w:val="99"/>
    <w:rsid w:val="009773CC"/>
    <w:rPr>
      <w:rFonts w:ascii="Times New Roman" w:hAnsi="Times New Roman"/>
      <w:sz w:val="28"/>
    </w:rPr>
  </w:style>
  <w:style w:type="character" w:customStyle="1" w:styleId="12">
    <w:name w:val="Нижний колонтитул Знак1"/>
    <w:basedOn w:val="a0"/>
    <w:link w:val="af4"/>
    <w:uiPriority w:val="99"/>
    <w:rsid w:val="009773CC"/>
    <w:rPr>
      <w:rFonts w:ascii="Times New Roman" w:hAnsi="Times New Roman"/>
      <w:sz w:val="28"/>
    </w:rPr>
  </w:style>
  <w:style w:type="character" w:customStyle="1" w:styleId="210">
    <w:name w:val="Цитата 2 Знак1"/>
    <w:basedOn w:val="a0"/>
    <w:link w:val="22"/>
    <w:uiPriority w:val="29"/>
    <w:rsid w:val="009773CC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13">
    <w:name w:val="Выделенная цитата Знак1"/>
    <w:basedOn w:val="a0"/>
    <w:link w:val="af5"/>
    <w:uiPriority w:val="30"/>
    <w:rsid w:val="009773CC"/>
    <w:rPr>
      <w:rFonts w:ascii="Times New Roman" w:hAnsi="Times New Roman"/>
      <w:i/>
      <w:iCs/>
      <w:color w:val="4472C4" w:themeColor="accent1"/>
      <w:sz w:val="28"/>
    </w:rPr>
  </w:style>
  <w:style w:type="character" w:customStyle="1" w:styleId="14">
    <w:name w:val="Подзаголовок Знак1"/>
    <w:basedOn w:val="a0"/>
    <w:link w:val="af6"/>
    <w:uiPriority w:val="11"/>
    <w:rsid w:val="009773CC"/>
    <w:rPr>
      <w:rFonts w:eastAsiaTheme="minorEastAsia"/>
      <w:color w:val="5A5A5A" w:themeColor="text1" w:themeTint="A5"/>
      <w:spacing w:val="15"/>
      <w:sz w:val="22"/>
    </w:rPr>
  </w:style>
  <w:style w:type="character" w:customStyle="1" w:styleId="15">
    <w:name w:val="Текст концевой сноски Знак1"/>
    <w:basedOn w:val="a0"/>
    <w:link w:val="af7"/>
    <w:uiPriority w:val="99"/>
    <w:semiHidden/>
    <w:rsid w:val="009773CC"/>
    <w:rPr>
      <w:rFonts w:ascii="Times New Roman" w:hAnsi="Times New Roman"/>
      <w:szCs w:val="20"/>
    </w:rPr>
  </w:style>
  <w:style w:type="table" w:customStyle="1" w:styleId="17">
    <w:name w:val="Сетка таблицы1"/>
    <w:basedOn w:val="a1"/>
    <w:next w:val="af8"/>
    <w:uiPriority w:val="39"/>
    <w:rsid w:val="00977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f8"/>
    <w:uiPriority w:val="39"/>
    <w:rsid w:val="00B74967"/>
    <w:pPr>
      <w:suppressAutoHyphens w:val="0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524E-A1BB-460D-8846-478532BC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Учетная запись Майкрософт</cp:lastModifiedBy>
  <cp:revision>615</cp:revision>
  <cp:lastPrinted>2022-04-24T10:29:00Z</cp:lastPrinted>
  <dcterms:created xsi:type="dcterms:W3CDTF">2021-02-13T21:17:00Z</dcterms:created>
  <dcterms:modified xsi:type="dcterms:W3CDTF">2022-04-24T11:16:00Z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