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742"/>
        <w:gridCol w:w="4173"/>
        <w:gridCol w:w="1367"/>
        <w:gridCol w:w="2068"/>
      </w:tblGrid>
      <w:tr w:rsidR="00E33C41" w14:paraId="4D26B451" w14:textId="5AB073E7" w:rsidTr="00E33C41">
        <w:tc>
          <w:tcPr>
            <w:tcW w:w="1525" w:type="dxa"/>
          </w:tcPr>
          <w:p w14:paraId="069B45E5" w14:textId="5C1C5FB7" w:rsidR="00E33C41" w:rsidRPr="00E33C41" w:rsidRDefault="00E33C41">
            <w:proofErr w:type="gramStart"/>
            <w:r>
              <w:t>Variable</w:t>
            </w:r>
            <w:r w:rsidR="00D37652">
              <w:t>[</w:t>
            </w:r>
            <w:proofErr w:type="gramEnd"/>
            <w:r w:rsidR="00D37652">
              <w:t>Freq]</w:t>
            </w:r>
          </w:p>
        </w:tc>
        <w:tc>
          <w:tcPr>
            <w:tcW w:w="4320" w:type="dxa"/>
          </w:tcPr>
          <w:p w14:paraId="0DD526AE" w14:textId="07D332B1" w:rsidR="00E33C41" w:rsidRDefault="00E33C41">
            <w:r>
              <w:t xml:space="preserve">Description </w:t>
            </w:r>
          </w:p>
        </w:tc>
        <w:tc>
          <w:tcPr>
            <w:tcW w:w="1390" w:type="dxa"/>
          </w:tcPr>
          <w:p w14:paraId="45399570" w14:textId="6F84539F" w:rsidR="00E33C41" w:rsidRDefault="00E33C41">
            <w:r>
              <w:t xml:space="preserve">Data Source </w:t>
            </w:r>
          </w:p>
        </w:tc>
        <w:tc>
          <w:tcPr>
            <w:tcW w:w="2115" w:type="dxa"/>
          </w:tcPr>
          <w:p w14:paraId="3E5B41D4" w14:textId="735AED2E" w:rsidR="00E33C41" w:rsidRDefault="00E33C41">
            <w:r>
              <w:t xml:space="preserve">Model where it’s used </w:t>
            </w:r>
          </w:p>
        </w:tc>
      </w:tr>
      <w:tr w:rsidR="00E33C41" w14:paraId="507A7902" w14:textId="4DF944D8" w:rsidTr="00E33C41">
        <w:tc>
          <w:tcPr>
            <w:tcW w:w="1525" w:type="dxa"/>
          </w:tcPr>
          <w:p w14:paraId="60E05DF7" w14:textId="0FD7EDD0" w:rsidR="00D37652" w:rsidRDefault="00E33C41" w:rsidP="00D37652">
            <w:pPr>
              <w:jc w:val="center"/>
            </w:pPr>
            <w:r w:rsidRPr="00E33C41">
              <w:t>USRECQP</w:t>
            </w:r>
            <w:r w:rsidR="00D37652">
              <w:t>[Q]</w:t>
            </w:r>
          </w:p>
        </w:tc>
        <w:tc>
          <w:tcPr>
            <w:tcW w:w="4320" w:type="dxa"/>
          </w:tcPr>
          <w:p w14:paraId="235A9119" w14:textId="77777777" w:rsidR="00E33C41" w:rsidRDefault="00E33C41">
            <w:bookmarkStart w:id="0" w:name="OLE_LINK1"/>
            <w:bookmarkStart w:id="1" w:name="OLE_LINK2"/>
            <w:r w:rsidRPr="00E33C41">
              <w:t>NBER based Recession Indicators for the United States from the Peak through the Period preceding the Trough, +1 or 0, Quarterly, Not Seasonally Adjusted</w:t>
            </w:r>
          </w:p>
          <w:p w14:paraId="33079665" w14:textId="77777777" w:rsidR="003216A5" w:rsidRDefault="003216A5"/>
          <w:p w14:paraId="3459064F" w14:textId="77777777" w:rsidR="003216A5" w:rsidRPr="003216A5" w:rsidRDefault="003216A5" w:rsidP="003216A5">
            <w:r w:rsidRPr="003216A5">
              <w:t>A value of 1 is a recessionary period, while a value of 0 is an expansionary period. For this time series, the recession begins the first day of the period of the peak and ends on the last day of the period before the trough. For more options on recession shading, see the notes and links below.</w:t>
            </w:r>
          </w:p>
          <w:bookmarkEnd w:id="0"/>
          <w:bookmarkEnd w:id="1"/>
          <w:p w14:paraId="1A81C511" w14:textId="647D392E" w:rsidR="003216A5" w:rsidRDefault="003216A5"/>
        </w:tc>
        <w:tc>
          <w:tcPr>
            <w:tcW w:w="1390" w:type="dxa"/>
          </w:tcPr>
          <w:p w14:paraId="7F71EC12" w14:textId="413F20D0" w:rsidR="00E33C41" w:rsidRDefault="00E33C41">
            <w:r>
              <w:t>FRED</w:t>
            </w:r>
          </w:p>
        </w:tc>
        <w:tc>
          <w:tcPr>
            <w:tcW w:w="2115" w:type="dxa"/>
          </w:tcPr>
          <w:p w14:paraId="6ED302B5" w14:textId="20024216" w:rsidR="00E33C41" w:rsidRDefault="003216A5">
            <w:bookmarkStart w:id="2" w:name="OLE_LINK3"/>
            <w:bookmarkStart w:id="3" w:name="OLE_LINK4"/>
            <w:r>
              <w:t xml:space="preserve">Recession Prediction </w:t>
            </w:r>
            <w:bookmarkEnd w:id="2"/>
            <w:bookmarkEnd w:id="3"/>
          </w:p>
        </w:tc>
      </w:tr>
      <w:tr w:rsidR="00E33C41" w14:paraId="29AA6B5E" w14:textId="301BDDB4" w:rsidTr="00E33C41">
        <w:tc>
          <w:tcPr>
            <w:tcW w:w="1525" w:type="dxa"/>
          </w:tcPr>
          <w:p w14:paraId="05810EFB" w14:textId="5DEA2131" w:rsidR="00E33C41" w:rsidRDefault="001B0099">
            <w:bookmarkStart w:id="4" w:name="_Hlk93591915"/>
            <w:r w:rsidRPr="001B0099">
              <w:t>FEDFUNDS</w:t>
            </w:r>
            <w:r>
              <w:t>[M]</w:t>
            </w:r>
          </w:p>
        </w:tc>
        <w:tc>
          <w:tcPr>
            <w:tcW w:w="4320" w:type="dxa"/>
          </w:tcPr>
          <w:p w14:paraId="43287113" w14:textId="1264A123" w:rsidR="00E33C41" w:rsidRDefault="001B0099">
            <w:r w:rsidRPr="001B0099">
              <w:t>Federal Funds Effective Rate, Percent, Monthly, Not Seasonally Adjusted</w:t>
            </w:r>
          </w:p>
        </w:tc>
        <w:tc>
          <w:tcPr>
            <w:tcW w:w="1390" w:type="dxa"/>
          </w:tcPr>
          <w:p w14:paraId="0186C118" w14:textId="71C1779B" w:rsidR="00E33C41" w:rsidRDefault="001B0099">
            <w:r>
              <w:t>FRED</w:t>
            </w:r>
          </w:p>
        </w:tc>
        <w:tc>
          <w:tcPr>
            <w:tcW w:w="2115" w:type="dxa"/>
          </w:tcPr>
          <w:p w14:paraId="38151749" w14:textId="40AE82B1" w:rsidR="00E33C41" w:rsidRDefault="001B0099">
            <w:r>
              <w:t>Recession Prediction</w:t>
            </w:r>
          </w:p>
        </w:tc>
      </w:tr>
      <w:bookmarkEnd w:id="4"/>
      <w:tr w:rsidR="00E33C41" w14:paraId="0378327A" w14:textId="1C2B1DA5" w:rsidTr="00E33C41">
        <w:tc>
          <w:tcPr>
            <w:tcW w:w="1525" w:type="dxa"/>
          </w:tcPr>
          <w:p w14:paraId="09E5D117" w14:textId="5F0BA05D" w:rsidR="00E33C41" w:rsidRPr="00C828EE" w:rsidRDefault="00C828EE">
            <w:pPr>
              <w:rPr>
                <w:highlight w:val="lightGray"/>
              </w:rPr>
            </w:pPr>
            <w:r w:rsidRPr="00C828EE">
              <w:rPr>
                <w:highlight w:val="lightGray"/>
              </w:rPr>
              <w:t>Unemployment Rate</w:t>
            </w:r>
          </w:p>
        </w:tc>
        <w:tc>
          <w:tcPr>
            <w:tcW w:w="4320" w:type="dxa"/>
          </w:tcPr>
          <w:p w14:paraId="50931976" w14:textId="77777777" w:rsidR="00E33C41" w:rsidRPr="00C828EE" w:rsidRDefault="00E33C41">
            <w:pPr>
              <w:rPr>
                <w:highlight w:val="lightGray"/>
              </w:rPr>
            </w:pPr>
          </w:p>
        </w:tc>
        <w:tc>
          <w:tcPr>
            <w:tcW w:w="1390" w:type="dxa"/>
          </w:tcPr>
          <w:p w14:paraId="3644AB9B" w14:textId="77777777" w:rsidR="00E33C41" w:rsidRPr="00C828EE" w:rsidRDefault="00E33C41">
            <w:pPr>
              <w:rPr>
                <w:highlight w:val="lightGray"/>
              </w:rPr>
            </w:pPr>
          </w:p>
        </w:tc>
        <w:tc>
          <w:tcPr>
            <w:tcW w:w="2115" w:type="dxa"/>
          </w:tcPr>
          <w:p w14:paraId="3D1CF96A" w14:textId="77777777" w:rsidR="00E33C41" w:rsidRPr="00C828EE" w:rsidRDefault="00E33C41">
            <w:pPr>
              <w:rPr>
                <w:highlight w:val="lightGray"/>
              </w:rPr>
            </w:pPr>
          </w:p>
        </w:tc>
      </w:tr>
      <w:tr w:rsidR="00E33C41" w14:paraId="1E22C867" w14:textId="1B99335F" w:rsidTr="00E33C41">
        <w:tc>
          <w:tcPr>
            <w:tcW w:w="1525" w:type="dxa"/>
          </w:tcPr>
          <w:p w14:paraId="35352BA4" w14:textId="76C3036C" w:rsidR="00E33C41" w:rsidRDefault="00DC4597">
            <w:r>
              <w:t>CPI (USA)[M]</w:t>
            </w:r>
          </w:p>
        </w:tc>
        <w:tc>
          <w:tcPr>
            <w:tcW w:w="4320" w:type="dxa"/>
          </w:tcPr>
          <w:p w14:paraId="53D80AB1" w14:textId="0603E3B0" w:rsidR="00E33C41" w:rsidRDefault="00DC4597">
            <w:r w:rsidRPr="00DC4597">
              <w:t>Consumer Price Index - USA</w:t>
            </w:r>
          </w:p>
        </w:tc>
        <w:tc>
          <w:tcPr>
            <w:tcW w:w="1390" w:type="dxa"/>
          </w:tcPr>
          <w:p w14:paraId="221F1985" w14:textId="5E58BCDD" w:rsidR="00E33C41" w:rsidRDefault="00DC4597">
            <w:r>
              <w:t>Nasdaq</w:t>
            </w:r>
          </w:p>
        </w:tc>
        <w:tc>
          <w:tcPr>
            <w:tcW w:w="2115" w:type="dxa"/>
          </w:tcPr>
          <w:p w14:paraId="5F549183" w14:textId="326D162E" w:rsidR="00E33C41" w:rsidRDefault="00DC4597">
            <w:bookmarkStart w:id="5" w:name="OLE_LINK7"/>
            <w:bookmarkStart w:id="6" w:name="OLE_LINK8"/>
            <w:r>
              <w:t>Recession Prediction</w:t>
            </w:r>
            <w:bookmarkEnd w:id="5"/>
            <w:bookmarkEnd w:id="6"/>
          </w:p>
        </w:tc>
      </w:tr>
      <w:tr w:rsidR="00E33C41" w14:paraId="0EBCEB25" w14:textId="4A5F2BCD" w:rsidTr="00E33C41">
        <w:tc>
          <w:tcPr>
            <w:tcW w:w="1525" w:type="dxa"/>
          </w:tcPr>
          <w:p w14:paraId="376EDD07" w14:textId="69ABFAC7" w:rsidR="00E33C41" w:rsidRDefault="00690C45">
            <w:r w:rsidRPr="00690C45">
              <w:t>DGS10</w:t>
            </w:r>
            <w:r w:rsidR="00B205B1">
              <w:t>[D]</w:t>
            </w:r>
          </w:p>
        </w:tc>
        <w:tc>
          <w:tcPr>
            <w:tcW w:w="4320" w:type="dxa"/>
          </w:tcPr>
          <w:p w14:paraId="18E7CDB4" w14:textId="77777777" w:rsidR="00B205B1" w:rsidRDefault="00B205B1" w:rsidP="00B205B1">
            <w:r w:rsidRPr="00B205B1">
              <w:t>Market Yield on U.S. Treasury Securities at 10-Year Constant Maturity</w:t>
            </w:r>
          </w:p>
          <w:p w14:paraId="33222591" w14:textId="77777777" w:rsidR="00E33C41" w:rsidRDefault="00E33C41"/>
        </w:tc>
        <w:tc>
          <w:tcPr>
            <w:tcW w:w="1390" w:type="dxa"/>
          </w:tcPr>
          <w:p w14:paraId="40080537" w14:textId="327C8E78" w:rsidR="00E33C41" w:rsidRDefault="00B205B1">
            <w:r>
              <w:t>FRED</w:t>
            </w:r>
          </w:p>
        </w:tc>
        <w:tc>
          <w:tcPr>
            <w:tcW w:w="2115" w:type="dxa"/>
          </w:tcPr>
          <w:p w14:paraId="40202FD0" w14:textId="1162AC17" w:rsidR="00E33C41" w:rsidRDefault="00B205B1">
            <w:r>
              <w:t>Recession Prediction</w:t>
            </w:r>
          </w:p>
        </w:tc>
      </w:tr>
      <w:tr w:rsidR="00E33C41" w14:paraId="2AF50016" w14:textId="2DD71E53" w:rsidTr="00E33C41">
        <w:tc>
          <w:tcPr>
            <w:tcW w:w="1525" w:type="dxa"/>
          </w:tcPr>
          <w:p w14:paraId="0095ADF5" w14:textId="708F3C80" w:rsidR="00E33C41" w:rsidRDefault="00B205B1">
            <w:r w:rsidRPr="00B205B1">
              <w:t>DTB3</w:t>
            </w:r>
            <w:r w:rsidR="00F943E0">
              <w:t>[D]</w:t>
            </w:r>
          </w:p>
        </w:tc>
        <w:tc>
          <w:tcPr>
            <w:tcW w:w="4320" w:type="dxa"/>
          </w:tcPr>
          <w:p w14:paraId="093F365F" w14:textId="1CBFD6A2" w:rsidR="00E33C41" w:rsidRDefault="00B205B1">
            <w:r w:rsidRPr="00B205B1">
              <w:t>3-Month Treasury Bill Secondary Market Rate</w:t>
            </w:r>
          </w:p>
        </w:tc>
        <w:tc>
          <w:tcPr>
            <w:tcW w:w="1390" w:type="dxa"/>
          </w:tcPr>
          <w:p w14:paraId="59158DFD" w14:textId="1BBD1333" w:rsidR="00E33C41" w:rsidRDefault="00F943E0">
            <w:r>
              <w:t>FRED</w:t>
            </w:r>
          </w:p>
        </w:tc>
        <w:tc>
          <w:tcPr>
            <w:tcW w:w="2115" w:type="dxa"/>
          </w:tcPr>
          <w:p w14:paraId="30B30EE0" w14:textId="263C0F9E" w:rsidR="00E33C41" w:rsidRDefault="00F943E0">
            <w:r>
              <w:t>Recession Prediction</w:t>
            </w:r>
          </w:p>
        </w:tc>
      </w:tr>
      <w:tr w:rsidR="00E33C41" w14:paraId="21572F6B" w14:textId="604E6E1B" w:rsidTr="00E33C41">
        <w:tc>
          <w:tcPr>
            <w:tcW w:w="1525" w:type="dxa"/>
          </w:tcPr>
          <w:p w14:paraId="14110DA2" w14:textId="77777777" w:rsidR="00E33C41" w:rsidRDefault="00E33C41"/>
        </w:tc>
        <w:tc>
          <w:tcPr>
            <w:tcW w:w="4320" w:type="dxa"/>
          </w:tcPr>
          <w:p w14:paraId="6D44B7D2" w14:textId="77777777" w:rsidR="00E33C41" w:rsidRDefault="00E33C41"/>
        </w:tc>
        <w:tc>
          <w:tcPr>
            <w:tcW w:w="1390" w:type="dxa"/>
          </w:tcPr>
          <w:p w14:paraId="004CE76F" w14:textId="77777777" w:rsidR="00E33C41" w:rsidRDefault="00E33C41"/>
        </w:tc>
        <w:tc>
          <w:tcPr>
            <w:tcW w:w="2115" w:type="dxa"/>
          </w:tcPr>
          <w:p w14:paraId="3BE2EDA2" w14:textId="77777777" w:rsidR="00E33C41" w:rsidRDefault="00E33C41"/>
        </w:tc>
      </w:tr>
    </w:tbl>
    <w:p w14:paraId="3A0D17BD" w14:textId="66CDB38C" w:rsidR="00D36E72" w:rsidRDefault="003216A5">
      <w:r>
        <w:t xml:space="preserve">NBER: national Bureau of Economic </w:t>
      </w:r>
      <w:proofErr w:type="gramStart"/>
      <w:r>
        <w:t>Research(</w:t>
      </w:r>
      <w:proofErr w:type="gramEnd"/>
      <w:r>
        <w:t xml:space="preserve">NBER) </w:t>
      </w:r>
    </w:p>
    <w:sectPr w:rsidR="00D36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2D"/>
    <w:rsid w:val="001B0099"/>
    <w:rsid w:val="002147FD"/>
    <w:rsid w:val="003216A5"/>
    <w:rsid w:val="00690C45"/>
    <w:rsid w:val="00B205B1"/>
    <w:rsid w:val="00C828EE"/>
    <w:rsid w:val="00D36E72"/>
    <w:rsid w:val="00D37652"/>
    <w:rsid w:val="00DC4597"/>
    <w:rsid w:val="00E3212D"/>
    <w:rsid w:val="00E33C41"/>
    <w:rsid w:val="00EF702F"/>
    <w:rsid w:val="00F943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9109703"/>
  <w15:chartTrackingRefBased/>
  <w15:docId w15:val="{A9635B1A-D6D6-604A-A1E7-24D19652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3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7390">
      <w:bodyDiv w:val="1"/>
      <w:marLeft w:val="0"/>
      <w:marRight w:val="0"/>
      <w:marTop w:val="0"/>
      <w:marBottom w:val="0"/>
      <w:divBdr>
        <w:top w:val="none" w:sz="0" w:space="0" w:color="auto"/>
        <w:left w:val="none" w:sz="0" w:space="0" w:color="auto"/>
        <w:bottom w:val="none" w:sz="0" w:space="0" w:color="auto"/>
        <w:right w:val="none" w:sz="0" w:space="0" w:color="auto"/>
      </w:divBdr>
    </w:div>
    <w:div w:id="234753334">
      <w:bodyDiv w:val="1"/>
      <w:marLeft w:val="0"/>
      <w:marRight w:val="0"/>
      <w:marTop w:val="0"/>
      <w:marBottom w:val="0"/>
      <w:divBdr>
        <w:top w:val="none" w:sz="0" w:space="0" w:color="auto"/>
        <w:left w:val="none" w:sz="0" w:space="0" w:color="auto"/>
        <w:bottom w:val="none" w:sz="0" w:space="0" w:color="auto"/>
        <w:right w:val="none" w:sz="0" w:space="0" w:color="auto"/>
      </w:divBdr>
    </w:div>
    <w:div w:id="529686354">
      <w:bodyDiv w:val="1"/>
      <w:marLeft w:val="0"/>
      <w:marRight w:val="0"/>
      <w:marTop w:val="0"/>
      <w:marBottom w:val="0"/>
      <w:divBdr>
        <w:top w:val="none" w:sz="0" w:space="0" w:color="auto"/>
        <w:left w:val="none" w:sz="0" w:space="0" w:color="auto"/>
        <w:bottom w:val="none" w:sz="0" w:space="0" w:color="auto"/>
        <w:right w:val="none" w:sz="0" w:space="0" w:color="auto"/>
      </w:divBdr>
    </w:div>
    <w:div w:id="539131393">
      <w:bodyDiv w:val="1"/>
      <w:marLeft w:val="0"/>
      <w:marRight w:val="0"/>
      <w:marTop w:val="0"/>
      <w:marBottom w:val="0"/>
      <w:divBdr>
        <w:top w:val="none" w:sz="0" w:space="0" w:color="auto"/>
        <w:left w:val="none" w:sz="0" w:space="0" w:color="auto"/>
        <w:bottom w:val="none" w:sz="0" w:space="0" w:color="auto"/>
        <w:right w:val="none" w:sz="0" w:space="0" w:color="auto"/>
      </w:divBdr>
    </w:div>
    <w:div w:id="578710734">
      <w:bodyDiv w:val="1"/>
      <w:marLeft w:val="0"/>
      <w:marRight w:val="0"/>
      <w:marTop w:val="0"/>
      <w:marBottom w:val="0"/>
      <w:divBdr>
        <w:top w:val="none" w:sz="0" w:space="0" w:color="auto"/>
        <w:left w:val="none" w:sz="0" w:space="0" w:color="auto"/>
        <w:bottom w:val="none" w:sz="0" w:space="0" w:color="auto"/>
        <w:right w:val="none" w:sz="0" w:space="0" w:color="auto"/>
      </w:divBdr>
      <w:divsChild>
        <w:div w:id="34550461">
          <w:marLeft w:val="0"/>
          <w:marRight w:val="0"/>
          <w:marTop w:val="0"/>
          <w:marBottom w:val="0"/>
          <w:divBdr>
            <w:top w:val="single" w:sz="2" w:space="0" w:color="auto"/>
            <w:left w:val="single" w:sz="2" w:space="0" w:color="auto"/>
            <w:bottom w:val="single" w:sz="2" w:space="0" w:color="auto"/>
            <w:right w:val="single" w:sz="2" w:space="0" w:color="auto"/>
          </w:divBdr>
        </w:div>
      </w:divsChild>
    </w:div>
    <w:div w:id="1277250197">
      <w:bodyDiv w:val="1"/>
      <w:marLeft w:val="0"/>
      <w:marRight w:val="0"/>
      <w:marTop w:val="0"/>
      <w:marBottom w:val="0"/>
      <w:divBdr>
        <w:top w:val="none" w:sz="0" w:space="0" w:color="auto"/>
        <w:left w:val="none" w:sz="0" w:space="0" w:color="auto"/>
        <w:bottom w:val="none" w:sz="0" w:space="0" w:color="auto"/>
        <w:right w:val="none" w:sz="0" w:space="0" w:color="auto"/>
      </w:divBdr>
    </w:div>
    <w:div w:id="1296256664">
      <w:bodyDiv w:val="1"/>
      <w:marLeft w:val="0"/>
      <w:marRight w:val="0"/>
      <w:marTop w:val="0"/>
      <w:marBottom w:val="0"/>
      <w:divBdr>
        <w:top w:val="none" w:sz="0" w:space="0" w:color="auto"/>
        <w:left w:val="none" w:sz="0" w:space="0" w:color="auto"/>
        <w:bottom w:val="none" w:sz="0" w:space="0" w:color="auto"/>
        <w:right w:val="none" w:sz="0" w:space="0" w:color="auto"/>
      </w:divBdr>
    </w:div>
    <w:div w:id="212102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Kalodzitsa, Alena</dc:creator>
  <cp:keywords/>
  <dc:description/>
  <cp:lastModifiedBy>Kalodzitsa, Alena</cp:lastModifiedBy>
  <cp:revision>5</cp:revision>
  <dcterms:created xsi:type="dcterms:W3CDTF">2022-01-20T21:57:00Z</dcterms:created>
  <dcterms:modified xsi:type="dcterms:W3CDTF">2022-01-20T23:12:00Z</dcterms:modified>
</cp:coreProperties>
</file>