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58"/>
        <w:ind w:left="0" w:right="0" w:firstLine="0"/>
        <w:spacing w:before="360" w:after="180" w:line="36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222222"/>
          <w:spacing w:val="-3"/>
          <w:sz w:val="32"/>
        </w:rPr>
        <w:t xml:space="preserve">Ограничение:</w:t>
      </w:r>
      <w:r/>
    </w:p>
    <w:p>
      <w:pPr>
        <w:ind w:left="0" w:right="0" w:firstLine="0"/>
        <w:spacing w:before="0" w:after="120" w:line="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222222"/>
          <w:sz w:val="25"/>
        </w:rPr>
        <w:t xml:space="preserve">Запрет на предоставление финансовых услуг российскими компаниями.</w:t>
      </w:r>
      <w:r>
        <w:rPr>
          <w:rFonts w:ascii="Liberation Sans" w:hAnsi="Liberation Sans" w:eastAsia="Liberation Sans" w:cs="Liberation Sans"/>
          <w:color w:val="222222"/>
          <w:sz w:val="25"/>
        </w:rPr>
        <w:t xml:space="preserve"> Это ограничение связано с международными санкциями, которые затрудняют доступ российских компаний к традиционным финансовым инструментам и услугам, таким как банковские кредиты, инвестиции и страхование.</w:t>
      </w:r>
      <w:r/>
    </w:p>
    <w:p>
      <w:pPr>
        <w:pStyle w:val="658"/>
        <w:ind w:left="0" w:right="0" w:firstLine="0"/>
        <w:spacing w:before="600" w:after="180" w:line="36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222222"/>
          <w:spacing w:val="-3"/>
          <w:sz w:val="32"/>
        </w:rPr>
        <w:t xml:space="preserve">Решения:</w:t>
      </w:r>
      <w:r/>
    </w:p>
    <w:p>
      <w:pPr>
        <w:pStyle w:val="834"/>
        <w:numPr>
          <w:ilvl w:val="0"/>
          <w:numId w:val="1"/>
        </w:numPr>
        <w:ind w:right="0"/>
        <w:spacing w:before="0" w:after="0" w:line="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222222"/>
          <w:sz w:val="25"/>
        </w:rPr>
        <w:t xml:space="preserve">Децентрализованное страхование:</w:t>
      </w:r>
      <w:r>
        <w:rPr>
          <w:rFonts w:ascii="Liberation Sans" w:hAnsi="Liberation Sans" w:eastAsia="Liberation Sans" w:cs="Liberation Sans"/>
          <w:color w:val="222222"/>
          <w:sz w:val="25"/>
        </w:rPr>
        <w:t xml:space="preserve"> Использование платформ DeFi для создания страховых продуктов, которые не зависят от традиционных финансовых институтов. Это позволяет пользователям получать защиту от рисков без необходимости обращаться к банкам или страховым компаниям.</w:t>
      </w:r>
      <w:r/>
    </w:p>
    <w:p>
      <w:pPr>
        <w:pStyle w:val="834"/>
        <w:numPr>
          <w:ilvl w:val="0"/>
          <w:numId w:val="1"/>
        </w:numPr>
        <w:ind w:right="0"/>
        <w:spacing w:before="0" w:after="0" w:line="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222222"/>
          <w:sz w:val="25"/>
        </w:rPr>
        <w:t xml:space="preserve">Децентрализованное кредитование:</w:t>
      </w:r>
      <w:r>
        <w:rPr>
          <w:rFonts w:ascii="Liberation Sans" w:hAnsi="Liberation Sans" w:eastAsia="Liberation Sans" w:cs="Liberation Sans"/>
          <w:color w:val="222222"/>
          <w:sz w:val="25"/>
        </w:rPr>
        <w:t xml:space="preserve"> Платформы DeFi позволяют пользователям получать кредиты без посредников. Это осуществляется через смарт-контракты, которые автоматически обрабатывают транзакции и обеспечивают прозрачность.</w:t>
      </w:r>
      <w:r/>
    </w:p>
    <w:p>
      <w:pPr>
        <w:pStyle w:val="834"/>
        <w:numPr>
          <w:ilvl w:val="0"/>
          <w:numId w:val="1"/>
        </w:numPr>
        <w:ind w:right="0"/>
        <w:spacing w:before="0" w:after="0" w:line="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222222"/>
          <w:sz w:val="25"/>
        </w:rPr>
        <w:t xml:space="preserve">Использование DAO для инвестиционного консультирования:</w:t>
      </w:r>
      <w:r>
        <w:rPr>
          <w:rFonts w:ascii="Liberation Sans" w:hAnsi="Liberation Sans" w:eastAsia="Liberation Sans" w:cs="Liberation Sans"/>
          <w:color w:val="222222"/>
          <w:sz w:val="25"/>
        </w:rPr>
        <w:t xml:space="preserve"> Децентрализованные автономные организации (DAO) могут предоставлять услуги по инвестиционному консультированию, объединяя средства участников для совместных инвестиций в различные проекты.</w:t>
      </w:r>
      <w:r/>
    </w:p>
    <w:p>
      <w:pPr>
        <w:ind w:left="0" w:right="0" w:firstLine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br/>
      </w:r>
      <w:r/>
    </w:p>
    <w:p>
      <w:pPr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222222"/>
        <w:sz w:val="25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Alena Renault</cp:lastModifiedBy>
  <cp:revision>2</cp:revision>
  <dcterms:modified xsi:type="dcterms:W3CDTF">2025-08-20T12:56:44Z</dcterms:modified>
</cp:coreProperties>
</file>