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6"/>
        <w:ind w:left="0" w:right="0" w:firstLine="0"/>
        <w:spacing w:before="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Ограничение: Ограничение деятельности российских компаний за рубежом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Санкции, введенные против России, значительно ограничили возможности российских компаний на международных рынках. Это включает в себя запреты на экспорт и импорт, заморозку активов и ограничения на финансовые транзакции.</w:t>
      </w:r>
      <w:r/>
    </w:p>
    <w:p>
      <w:pPr>
        <w:pStyle w:val="658"/>
        <w:ind w:left="0" w:right="0" w:firstLine="0"/>
        <w:spacing w:before="0" w:after="180"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Решения: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Разработка децентрализованных приложений (dApps) и Open-Source проектов: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Создание приложений, работающих на децентрализованных сетях, что позволяет избежать зависимости от централизованных платформ. Например, компания 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"Агентство цифровых технологий"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разработала dApp для управления цифровыми активами, который не требует традиционных банковских систем.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Перенос инфраструктуры в дружественные юрисдикции: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Перемещение серверов и бизнес-процессов в страны, которые не поддерживают санкции, для обеспечения непрерывности работы. Например, 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компания "Тинькофф"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перенесла часть своей инфраструктуры в Армению, что позволило ей продолжать предоставление финансовых услуг.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Развитие альтернативных ОС с крипто-грантами и краудфандингом: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Создание и поддержка отечественных операционных систем с использованием финансирования от сообщества и крипто-грантов. Например, 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проект "Астра"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 по разработке операционной системы на базе Linux получил финансирование через краудфандинговую платформу, что позволило ему развиваться независимо от западных технологий.</w:t>
      </w:r>
      <w:r/>
    </w:p>
    <w:p>
      <w:pPr>
        <w:rPr>
          <w14:ligatures w14:val="none"/>
        </w:rPr>
      </w:pPr>
      <w:r>
        <w:br/>
      </w:r>
      <w:r/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949" w:hanging="360"/>
      </w:pPr>
      <w:rPr>
        <w:rFonts w:hint="default" w:ascii="Symbol" w:hAnsi="Symbol" w:eastAsia="Symbol" w:cs="Symbol"/>
        <w:color w:val="222222"/>
        <w:sz w:val="25"/>
      </w:rPr>
    </w:lvl>
    <w:lvl w:ilvl="1">
      <w:start w:val="1"/>
      <w:numFmt w:val="bullet"/>
      <w:isLgl w:val="false"/>
      <w:suff w:val="tab"/>
      <w:lvlText w:val="·"/>
      <w:lvlJc w:val="left"/>
      <w:pPr>
        <w:ind w:left="1669" w:hanging="360"/>
      </w:pPr>
      <w:rPr>
        <w:rFonts w:hint="default" w:ascii="Symbol" w:hAnsi="Symbol" w:eastAsia="Symbol" w:cs="Symbol"/>
        <w:color w:val="222222"/>
        <w:sz w:val="25"/>
      </w:rPr>
    </w:lvl>
    <w:lvl w:ilvl="2">
      <w:start w:val="1"/>
      <w:numFmt w:val="bullet"/>
      <w:isLgl w:val="false"/>
      <w:suff w:val="tab"/>
      <w:lvlText w:val="·"/>
      <w:lvlJc w:val="left"/>
      <w:pPr>
        <w:ind w:left="2389" w:hanging="360"/>
      </w:pPr>
      <w:rPr>
        <w:rFonts w:hint="default" w:ascii="Symbol" w:hAnsi="Symbol" w:eastAsia="Symbol" w:cs="Symbol"/>
        <w:color w:val="222222"/>
        <w:sz w:val="25"/>
      </w:rPr>
    </w:lvl>
    <w:lvl w:ilvl="3">
      <w:start w:val="1"/>
      <w:numFmt w:val="bullet"/>
      <w:isLgl w:val="false"/>
      <w:suff w:val="tab"/>
      <w:lvlText w:val="·"/>
      <w:lvlJc w:val="left"/>
      <w:pPr>
        <w:ind w:left="3109" w:hanging="360"/>
      </w:pPr>
      <w:rPr>
        <w:rFonts w:hint="default" w:ascii="Symbol" w:hAnsi="Symbol" w:eastAsia="Symbol" w:cs="Symbol"/>
        <w:color w:val="222222"/>
        <w:sz w:val="25"/>
      </w:rPr>
    </w:lvl>
    <w:lvl w:ilvl="4">
      <w:start w:val="1"/>
      <w:numFmt w:val="bullet"/>
      <w:isLgl w:val="false"/>
      <w:suff w:val="tab"/>
      <w:lvlText w:val="·"/>
      <w:lvlJc w:val="left"/>
      <w:pPr>
        <w:ind w:left="3829" w:hanging="360"/>
      </w:pPr>
      <w:rPr>
        <w:rFonts w:hint="default" w:ascii="Symbol" w:hAnsi="Symbol" w:eastAsia="Symbol" w:cs="Symbol"/>
        <w:color w:val="222222"/>
        <w:sz w:val="25"/>
      </w:rPr>
    </w:lvl>
    <w:lvl w:ilvl="5">
      <w:start w:val="1"/>
      <w:numFmt w:val="bullet"/>
      <w:isLgl w:val="false"/>
      <w:suff w:val="tab"/>
      <w:lvlText w:val="·"/>
      <w:lvlJc w:val="left"/>
      <w:pPr>
        <w:ind w:left="4549" w:hanging="360"/>
      </w:pPr>
      <w:rPr>
        <w:rFonts w:hint="default" w:ascii="Symbol" w:hAnsi="Symbol" w:eastAsia="Symbol" w:cs="Symbol"/>
        <w:color w:val="222222"/>
        <w:sz w:val="25"/>
      </w:rPr>
    </w:lvl>
    <w:lvl w:ilvl="6">
      <w:start w:val="1"/>
      <w:numFmt w:val="bullet"/>
      <w:isLgl w:val="false"/>
      <w:suff w:val="tab"/>
      <w:lvlText w:val="·"/>
      <w:lvlJc w:val="left"/>
      <w:pPr>
        <w:ind w:left="5269" w:hanging="360"/>
      </w:pPr>
      <w:rPr>
        <w:rFonts w:hint="default" w:ascii="Symbol" w:hAnsi="Symbol" w:eastAsia="Symbol" w:cs="Symbol"/>
        <w:color w:val="222222"/>
        <w:sz w:val="25"/>
      </w:rPr>
    </w:lvl>
    <w:lvl w:ilvl="7">
      <w:start w:val="1"/>
      <w:numFmt w:val="bullet"/>
      <w:isLgl w:val="false"/>
      <w:suff w:val="tab"/>
      <w:lvlText w:val="·"/>
      <w:lvlJc w:val="left"/>
      <w:pPr>
        <w:ind w:left="5989" w:hanging="360"/>
      </w:pPr>
      <w:rPr>
        <w:rFonts w:hint="default" w:ascii="Symbol" w:hAnsi="Symbol" w:eastAsia="Symbol" w:cs="Symbol"/>
        <w:color w:val="222222"/>
        <w:sz w:val="25"/>
      </w:rPr>
    </w:lvl>
    <w:lvl w:ilvl="8">
      <w:start w:val="1"/>
      <w:numFmt w:val="bullet"/>
      <w:isLgl w:val="false"/>
      <w:suff w:val="tab"/>
      <w:lvlText w:val="·"/>
      <w:lvlJc w:val="left"/>
      <w:pPr>
        <w:ind w:left="6709" w:hanging="360"/>
      </w:pPr>
      <w:rPr>
        <w:rFonts w:hint="default" w:ascii="Symbol" w:hAnsi="Symbol" w:eastAsia="Symbol" w:cs="Symbol"/>
        <w:color w:val="222222"/>
        <w:sz w:val="2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2025-08-20T13:29:27Z</dcterms:modified>
</cp:coreProperties>
</file>