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Ограничение: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Запрет на заход в порты определённых стран для судов, принадлежащих российским компаниям, что затрудняет международные грузоперевозки и логистику.</w:t>
      </w:r>
      <w:r/>
    </w:p>
    <w:p>
      <w:pPr>
        <w:pStyle w:val="656"/>
        <w:ind w:left="0" w:right="0" w:firstLine="0"/>
        <w:spacing w:before="600" w:after="180"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Решения</w:t>
      </w:r>
      <w:r/>
    </w:p>
    <w:p>
      <w:pPr>
        <w:pStyle w:val="658"/>
        <w:ind w:left="0" w:right="0" w:firstLine="0"/>
        <w:spacing w:before="36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1. Использование криптовалютных платформ для расчетов с портами: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Криптовалютные платформы позволяют проводить транзакции без участия традиционных банков и финансовых учреждений, что может обойти санкции. Например, компания "ТрансКонтейнер" начала использовать биткойн для расчетов с зарубежными партнерами, что позволило 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им продолжать операции, несмотря на ограничения.</w:t>
      </w:r>
      <w:r/>
    </w:p>
    <w:p>
      <w:pPr>
        <w:pStyle w:val="658"/>
        <w:ind w:left="0" w:right="0" w:firstLine="0"/>
        <w:spacing w:before="60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2. Привлечение инвестиций в порты через крипто-токены: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Создание и продажа крипто-токенов для привлечения инвестиций в развитие портовой инфраструктуры. Это может помочь в финансировании новых проектов и улучшении существующих. Порт "Усть-Луга" запустил ICO (Initial Coin Offering) для привлечения средств на мод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ернизацию терминалов, что позволило привлечь международные инвестиции.</w:t>
      </w:r>
      <w:r/>
    </w:p>
    <w:p>
      <w:pPr>
        <w:pStyle w:val="658"/>
        <w:ind w:left="0" w:right="0" w:firstLine="0"/>
        <w:spacing w:before="60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3. Блокчейн для прозрачности поставок:</w:t>
      </w:r>
      <w:r/>
    </w:p>
    <w:p>
      <w:pPr>
        <w:ind w:left="0" w:right="0" w:firstLine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22222"/>
          <w:sz w:val="25"/>
        </w:rPr>
        <w:t xml:space="preserve">Внедрение блокчейн-технологий для отслеживания грузов и обеспечения прозрачности поставок. Это может повысить доверие со стороны международных партнеров и снизить риски. Компания "Совкомфлот" использует блокчейн для отслеживания своих судов и грузов, что п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озволяет им демонстрировать прозрачность и надежность своих операций, даже в условиях санкций.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2025-08-20T13:33:53Z</dcterms:modified>
</cp:coreProperties>
</file>