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6"/>
        <w:ind w:left="0" w:right="0" w:firstLine="0"/>
        <w:spacing w:before="0" w:after="18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4"/>
          <w:sz w:val="33"/>
        </w:rPr>
        <w:t xml:space="preserve">Ограничение:</w:t>
      </w:r>
      <w:r/>
    </w:p>
    <w:p>
      <w:pPr>
        <w:ind w:left="0" w:right="0" w:firstLine="0"/>
        <w:spacing w:before="0" w:after="12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Санкция: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Ограничения на финансирование российских компаний из-за рубежа, что затрудняет доступ к необходимым ресурсам и инвестициям, а также создает риски для устойчивости бизнеса.</w:t>
      </w:r>
      <w:r/>
    </w:p>
    <w:p>
      <w:pPr>
        <w:pStyle w:val="658"/>
        <w:ind w:left="0" w:right="0" w:firstLine="0"/>
        <w:spacing w:before="600" w:after="180" w:line="36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Решения: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Краудфандинг на криптоплатформах: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Использование криптоплатформ для привлечения средств от инвесторов позволяет обходить традиционные финансовые институты. Примером может служить 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Kickstarter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, где компании могут представить свои проекты и получить финансирование напрямую от сообщества.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Получение DeFi-займов: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Доступ к децентрализованным финансовым займам предоставляет возможность получать кредиты без необходимости проходить через банки. Например, 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Aave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и 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Compound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предлагают платформы для получения займов в криптовалюте, что упрощает процесс финансирования.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Создание и продажа NFT: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Разработка и продажа невзаимозаменяемых токенов (NFT) позволяет компаниям монетизировать свои цифровые активы. Примером может служить </w:t>
      </w: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OpenSea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, где художники и компании могут выставлять свои NFT на продажу, привлекая внимание инвесторов и коллекционеров.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22222"/>
        <w:sz w:val="25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Alena Renault</cp:lastModifiedBy>
  <cp:revision>2</cp:revision>
  <dcterms:modified xsi:type="dcterms:W3CDTF">2025-08-20T13:08:30Z</dcterms:modified>
</cp:coreProperties>
</file>