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6"/>
        <w:ind w:left="0" w:right="0" w:firstLine="0"/>
        <w:spacing w:before="0" w:after="180" w:line="42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pacing w:val="-4"/>
          <w:sz w:val="33"/>
        </w:rPr>
        <w:t xml:space="preserve">Ограничение: Запрет поставок майнингового оборудования</w:t>
      </w:r>
      <w:r/>
    </w:p>
    <w:p>
      <w:pPr>
        <w:ind w:left="0" w:right="0" w:firstLine="0"/>
        <w:spacing w:before="0" w:after="120" w:line="85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22222"/>
          <w:sz w:val="25"/>
        </w:rPr>
        <w:t xml:space="preserve">Санкции, введенные против России, ограничивают возможность импорта майнингового оборудования, что создает серьезные проблемы для компаний, занимающихся криптовалютным майнингом. Это приводит к дефициту оборудования, увеличению цен и снижению конкурентоспос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обности на международной арене.</w:t>
      </w:r>
      <w:r/>
    </w:p>
    <w:p>
      <w:pPr>
        <w:pStyle w:val="656"/>
        <w:ind w:left="0" w:right="0" w:firstLine="0"/>
        <w:spacing w:before="0" w:after="180" w:line="42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pacing w:val="-4"/>
          <w:sz w:val="33"/>
        </w:rPr>
        <w:t xml:space="preserve">Решения:</w:t>
      </w:r>
      <w:r/>
    </w:p>
    <w:p>
      <w:pPr>
        <w:pStyle w:val="658"/>
        <w:ind w:left="0" w:right="0" w:firstLine="0"/>
        <w:spacing w:before="360" w:after="180"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pacing w:val="-3"/>
          <w:sz w:val="32"/>
        </w:rPr>
        <w:t xml:space="preserve">1. Закупка через третьи страны:</w:t>
      </w:r>
      <w:r/>
    </w:p>
    <w:p>
      <w:pPr>
        <w:ind w:left="0" w:right="0" w:firstLine="0"/>
        <w:spacing w:before="0" w:after="120" w:line="85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22222"/>
          <w:sz w:val="25"/>
        </w:rPr>
        <w:t xml:space="preserve">Компании могут организовать закупку оборудования через страны, не подверженные санкциям. Это позволяет обойти ограничения и получить доступ к необходимым ресурсам. Например, </w:t>
      </w: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Bitriver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, одна из крупнейших майнинговых компаний в России, использует схемы закупки оборудования через Казахстан и другие страны СНГ.</w:t>
      </w:r>
      <w:r/>
    </w:p>
    <w:p>
      <w:pPr>
        <w:pStyle w:val="658"/>
        <w:ind w:left="0" w:right="0" w:firstLine="0"/>
        <w:spacing w:before="600" w:after="180"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pacing w:val="-3"/>
          <w:sz w:val="32"/>
        </w:rPr>
        <w:t xml:space="preserve">2. Облачный майнинг:</w:t>
      </w:r>
      <w:r/>
    </w:p>
    <w:p>
      <w:pPr>
        <w:ind w:left="0" w:right="0" w:firstLine="0"/>
        <w:spacing w:before="0" w:after="120" w:line="85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22222"/>
          <w:sz w:val="25"/>
        </w:rPr>
        <w:t xml:space="preserve">Облачный майнинг позволяет пользователям арендовать вычислительные мощности у провайдеров, что исключает необходимость в собственном оборудовании. Это решение снижает затраты на закупку и обслуживание оборудования. </w:t>
      </w: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Genesis Mining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 предлагает услуги облачного майнинга, позволяя клиентам инвестировать в майнинг без необходимости покупки оборудования, что также позволяет гибко управлять мощностями в зависимости от рыночной ситуации.</w:t>
      </w:r>
      <w:r/>
    </w:p>
    <w:p>
      <w:pPr>
        <w:pStyle w:val="658"/>
        <w:ind w:left="0" w:right="0" w:firstLine="0"/>
        <w:spacing w:before="600" w:after="180"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pacing w:val="-3"/>
          <w:sz w:val="32"/>
        </w:rPr>
        <w:t xml:space="preserve">3. Перенос фирм за рубеж:</w:t>
      </w:r>
      <w:r/>
    </w:p>
    <w:p>
      <w:pPr>
        <w:ind w:left="0" w:right="0" w:firstLine="0"/>
        <w:spacing w:before="0" w:after="120" w:line="85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22222"/>
          <w:sz w:val="25"/>
        </w:rPr>
        <w:t xml:space="preserve">Некоторые компании могут рассмотреть возможность переноса своей деятельности в страны с более благоприятными условиями для майнинга. Это может включать налоговые льготы и доступ к более дешевым источникам энергии. Например, </w:t>
      </w: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Xive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 перенесла свои операции в Грузию, где существуют более лояльные условия для майнинга, включая низкие тарифы на электроэнергию и отсутствие жестких регуляций.</w:t>
      </w:r>
      <w:r/>
    </w:p>
    <w:p>
      <w:pPr>
        <w:rPr>
          <w14:ligatures w14:val="none"/>
        </w:rPr>
      </w:pPr>
      <w:r>
        <w:br/>
      </w:r>
      <w:r/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Alena Renault</cp:lastModifiedBy>
  <cp:revision>2</cp:revision>
  <dcterms:modified xsi:type="dcterms:W3CDTF">2025-08-20T13:15:18Z</dcterms:modified>
</cp:coreProperties>
</file>