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Relatório de Laboratório</w:t>
      </w:r>
    </w:p>
    <w:p>
      <w:r>
        <w:t>Laboratório de Experimentação de Software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00"/>
        <w:gridCol w:w="6200"/>
      </w:tblGrid>
      <w:tr>
        <w:trPr>
          <w:cantSplit/>
          <w:tblHeader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Curso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Engenharia de Software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Disciplina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Laboratório de Experimentação de Software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Turno / Período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Noite / 6º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Professor(a)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Danilo Maia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Laboratório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Lab03 - Mineração e análise de métricas DORA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Grupo (trio)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Isabella Dias · Leandro Alencar · Luis Henrique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Link do repositório / GitHub Projects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https://github.com/alencarleandro/DORA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de entrega</w:t>
            </w:r>
          </w:p>
        </w:tc>
        <w:tc>
          <w:tcPr>
            <w:tcW w:type="dxa" w:w="6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22/10/2026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 w:val="0"/>
        <w:widowControl w:val="0"/>
        <w:spacing w:line="300" w:lineRule="exact" w:before="162" w:after="126"/>
        <w:jc w:val="left"/>
      </w:pPr>
      <w:r>
        <w:rPr>
          <w:rFonts w:ascii="Arial" w:hAnsi="Arial"/>
          <w:b/>
          <w:i w:val="0"/>
          <w:color w:val="1F3A5F"/>
          <w:sz w:val="22"/>
        </w:rPr>
        <w:t>1. Introdução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Investigamos como proxies das métricas DORA descrevem a entrega de software em 300 repositórios públicos com GitHub Actions. O estudo usa dados de 2025 e combina estatística descritiva, classificação por faixas, correlações e comparações entre grupos. Releases e falhas de pipeline são sinais indiretos: não observamos deploys e incidentes reais em produção.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frequência mediana foi 0,46 release por semana e a recuperação observada, 3,77 horas. A correlação entre frequência e falhas muda com a definição de falha; 27,3% dos projetos mudam de categoria entre C1 e C2. Esses resultados mostram por que a definição operacional e o tratamento de dados ausentes precisam acompanhar qualquer interpretação de desempenho.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Estado da entrega:</w:t>
      </w:r>
      <w:r>
        <w:rPr>
          <w:rFonts w:ascii="Arial" w:hAnsi="Arial"/>
          <w:b w:val="0"/>
          <w:i w:val="0"/>
          <w:color w:val="000000"/>
          <w:sz w:val="22"/>
        </w:rPr>
        <w:t xml:space="preserve"> RQ01-RQ07 consolidadas; consenso operacional e calibração concluídos em 20/10/2026. O melhor F1 foi 55,07%, abaixo do mínimo de 70%. O CFR por releases e o retrabalho permanecem exploratórios; a referência assistida não constitui teste independente.</w:t>
      </w:r>
    </w:p>
    <w:p>
      <w:pPr>
        <w:widowControl w:val="0"/>
        <w:spacing w:line="20" w:lineRule="exact" w:after="168" w:before="0"/>
      </w:pP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Questões de Pesquisa:</w:t>
      </w:r>
    </w:p>
    <w:p>
      <w:pPr>
        <w:widowControl w:val="0"/>
        <w:spacing w:line="20" w:lineRule="exact" w:after="14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RQ01:</w:t>
      </w:r>
      <w:r>
        <w:rPr>
          <w:rFonts w:ascii="Arial" w:hAnsi="Arial"/>
          <w:b w:val="0"/>
          <w:i w:val="0"/>
          <w:color w:val="000000"/>
          <w:sz w:val="22"/>
        </w:rPr>
        <w:t xml:space="preserve"> Qual é a frequência de releases dos projetos selecionados?</w:t>
      </w:r>
    </w:p>
    <w:p>
      <w:pPr>
        <w:widowControl w:val="0"/>
        <w:spacing w:line="20" w:lineRule="exact" w:after="21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RQ02:</w:t>
      </w:r>
      <w:r>
        <w:rPr>
          <w:rFonts w:ascii="Arial" w:hAnsi="Arial"/>
          <w:b w:val="0"/>
          <w:i w:val="0"/>
          <w:color w:val="000000"/>
          <w:sz w:val="22"/>
        </w:rPr>
        <w:t xml:space="preserve"> Quanto tempo decorre entre commits e releases, nas variantes por release e por commit?</w:t>
      </w:r>
    </w:p>
    <w:p>
      <w:pPr>
        <w:widowControl w:val="0"/>
        <w:spacing w:line="20" w:lineRule="exact" w:after="21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RQ03:</w:t>
      </w:r>
      <w:r>
        <w:rPr>
          <w:rFonts w:ascii="Arial" w:hAnsi="Arial"/>
          <w:b w:val="0"/>
          <w:i w:val="0"/>
          <w:color w:val="000000"/>
          <w:sz w:val="22"/>
        </w:rPr>
        <w:t xml:space="preserve"> Qual é a taxa de falha nos proxies de CI e de entrega?</w:t>
      </w:r>
    </w:p>
    <w:p>
      <w:pPr>
        <w:widowControl w:val="0"/>
        <w:spacing w:line="20" w:lineRule="exact" w:after="21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RQ04:</w:t>
      </w:r>
      <w:r>
        <w:rPr>
          <w:rFonts w:ascii="Arial" w:hAnsi="Arial"/>
          <w:b w:val="0"/>
          <w:i w:val="0"/>
          <w:color w:val="000000"/>
          <w:sz w:val="22"/>
        </w:rPr>
        <w:t xml:space="preserve"> Qual é o tempo de recuperação observado após falhas de workflow?</w:t>
      </w:r>
    </w:p>
    <w:p>
      <w:pPr>
        <w:widowControl w:val="0"/>
        <w:spacing w:line="20" w:lineRule="exact" w:after="21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RQ05:</w:t>
      </w:r>
      <w:r>
        <w:rPr>
          <w:rFonts w:ascii="Arial" w:hAnsi="Arial"/>
          <w:b w:val="0"/>
          <w:i w:val="0"/>
          <w:color w:val="000000"/>
          <w:sz w:val="22"/>
        </w:rPr>
        <w:t xml:space="preserve"> Frequência de releases está associada à taxa de falha?</w:t>
      </w:r>
    </w:p>
    <w:p>
      <w:pPr>
        <w:widowControl w:val="0"/>
        <w:spacing w:line="20" w:lineRule="exact" w:after="21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RQ06:</w:t>
      </w:r>
      <w:r>
        <w:rPr>
          <w:rFonts w:ascii="Arial" w:hAnsi="Arial"/>
          <w:b w:val="0"/>
          <w:i w:val="0"/>
          <w:color w:val="000000"/>
          <w:sz w:val="22"/>
        </w:rPr>
        <w:t xml:space="preserve"> Métricas diferem entre grupos de popularidade, contribuidores e idade?</w:t>
      </w:r>
    </w:p>
    <w:p>
      <w:pPr>
        <w:widowControl w:val="0"/>
        <w:spacing w:line="20" w:lineRule="exact" w:after="21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RQ07:</w:t>
      </w:r>
      <w:r>
        <w:rPr>
          <w:rFonts w:ascii="Arial" w:hAnsi="Arial"/>
          <w:b w:val="0"/>
          <w:i w:val="0"/>
          <w:color w:val="000000"/>
          <w:sz w:val="22"/>
        </w:rPr>
        <w:t xml:space="preserve"> Quanto a categoria DORA muda com a definição operacional?</w:t>
      </w:r>
    </w:p>
    <w:p>
      <w:pPr>
        <w:widowControl w:val="0"/>
        <w:spacing w:line="20" w:lineRule="exact" w:after="210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RQ08:</w:t>
      </w:r>
      <w:r>
        <w:rPr>
          <w:rFonts w:ascii="Arial" w:hAnsi="Arial"/>
          <w:b w:val="0"/>
          <w:i w:val="0"/>
          <w:color w:val="000000"/>
          <w:sz w:val="22"/>
        </w:rPr>
        <w:t xml:space="preserve"> Qual é a proporção de releases corretivas entre todas as releases?</w:t>
      </w:r>
    </w:p>
    <w:p>
      <w:r>
        <w:br w:type="page"/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Hipóteses informais: não foi localizado um registro datado anterior à coleta que permita transcrevê-las com segurança. Portanto, não criamos hipóteses retrospectivas nem afirmamos sua confirmação. A discussão compara definições e resultados observados; recuperar esse registro com o grupo continua necessário para cumprir integralmente o modelo.</w:t>
      </w:r>
    </w:p>
    <w:p>
      <w:pPr>
        <w:keepNext w:val="0"/>
        <w:widowControl w:val="0"/>
        <w:spacing w:line="300" w:lineRule="exact" w:before="162" w:after="126"/>
        <w:jc w:val="left"/>
      </w:pPr>
      <w:r>
        <w:rPr>
          <w:rFonts w:ascii="Arial" w:hAnsi="Arial"/>
          <w:b/>
          <w:i w:val="0"/>
          <w:color w:val="1F3A5F"/>
          <w:sz w:val="22"/>
        </w:rPr>
        <w:t>2. Contexto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Lab03 parte da mineração e preparação dos dados nas Sprints 1 e 2 e chega à análise estatística na Sprint 3. A unidade de observação é o repositório. A janela comum é de 01/01 a 31/12/2025, em UTC. Cada projeto tem o mesmo peso nas estatísticas e nos testes. Não agregamos equipes ou organizações como se fossem um único sistema.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métricas DORA orientam a melhoria do fluxo e da estabilidade de entrega. Neste laboratório, releases publicadas aproximam entregas, runs de CI aproximam falhas internas e correções posteriores aproximam problemas de entrega. Os cortes Elite, High, Medium e Low são os cortes fixos, não uma classificação oficial atual da DORA para esses projetos.</w:t>
      </w:r>
    </w:p>
    <w:p>
      <w:pPr>
        <w:keepNext w:val="0"/>
        <w:widowControl w:val="0"/>
        <w:spacing w:line="300" w:lineRule="exact" w:before="162" w:after="126"/>
        <w:jc w:val="left"/>
      </w:pPr>
      <w:r>
        <w:rPr>
          <w:rFonts w:ascii="Arial" w:hAnsi="Arial"/>
          <w:b/>
          <w:i w:val="0"/>
          <w:color w:val="1F3A5F"/>
          <w:sz w:val="22"/>
        </w:rPr>
        <w:t>3. Metodologia</w:t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3.1 Principais Desafios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coleta precisou lidar com paginação, teto de resultados por consulta, rate limit, retomada e token inválido. A janela de runs foi subdividida por mês e por intervalos menores quando necessário. Comparações de commits indisponíveis, múltiplas branches e tags de monorepos exigiram rastreabilidade. Na análise, duração negativa, censura e o objetivo ambíguo de releases corretivas impediram o tratamento automático de toda ausência como zero.</w:t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3.2 Tomadas de Decisão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Selecionamos projetos com pelo menos 1.001 estrelas, excluindo forks e arquivados, uso observável de Actions, ao menos cinco releases válidas e 50 runs válidos de push na branch principal. Releases draft e prerelease não entram na definição principal. Erros e consultas pendentes permanecem separados das exclusões. A idade é metadado, não um mínimo de inclusão.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C1 completa exige quatro métricas observadas. A versão com dimensões disponíveis é publicada separadamente, sem imputação. Durações negativas são excluídas apenas da medida afetada. Para a frequência mensal, usamos 12 releases por ano civil, evitando o arredondamento de 52,14 semanas. Quartis seguem interpolação linear tipo 7.</w:t>
      </w:r>
    </w:p>
    <w:p>
      <w:r>
        <w:br w:type="page"/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3.3 Etapas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600"/>
        <w:gridCol w:w="2600"/>
      </w:tblGrid>
      <w:tr>
        <w:trPr>
          <w:cantSplit/>
          <w:tblHeader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Etapa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Entregas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Responsável(is)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1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Seleção e metadados #1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Isabella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1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Releases e commits #2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Luis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1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Workflows e infraestrutura #3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Leandro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2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Dataset e dicionário #6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Isabella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2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Concordância e consenso #4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Luis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2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Heurística CFR b #5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Leandro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3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RQ05 e RQ06 #8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Isabella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2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RQ07 e bônus RQ08 #9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Luis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Lab03/Sprint 2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RQ01-04 e C1 #7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Leandro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Relatório final</w:t>
            </w:r>
          </w:p>
        </w:tc>
        <w:tc>
          <w:tcPr>
            <w:tcW w:type="dxa" w:w="4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Resultados, gráficos e discussão.</w:t>
            </w:r>
          </w:p>
        </w:tc>
        <w:tc>
          <w:tcPr>
            <w:tcW w:type="dxa" w:w="26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Luis, Isabella e Leandro</w:t>
            </w:r>
          </w:p>
        </w:tc>
      </w:tr>
    </w:tbl>
    <w:p>
      <w:pPr>
        <w:spacing w:after="0"/>
      </w:pP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3.4 Ferramentas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400"/>
      </w:tblGrid>
      <w:tr>
        <w:trPr>
          <w:cantSplit/>
          <w:tblHeader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Ferramentas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Cliente próprio REST em Node.js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Python 3.12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NumPy 2.5.4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Pandas 3.0.6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SciPy 1.18.1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GitHub Projects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Statsmodels 0.15.0</w:t>
            </w:r>
          </w:p>
        </w:tc>
      </w:tr>
      <w:tr>
        <w:trPr>
          <w:cantSplit/>
        </w:trPr>
        <w:tc>
          <w:tcPr>
            <w:tcW w:type="dxa" w:w="94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Matplotlib 3.11.2</w:t>
            </w:r>
          </w:p>
        </w:tc>
      </w:tr>
    </w:tbl>
    <w:p>
      <w:pPr>
        <w:spacing w:after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Há testes Node/Python e replicação independente da sensibilidade.</w:t>
      </w:r>
    </w:p>
    <w:p>
      <w:r>
        <w:br w:type="page"/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3.5 Tabela de Métricas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5500"/>
        <w:gridCol w:w="3000"/>
      </w:tblGrid>
      <w:tr>
        <w:trPr>
          <w:cantSplit/>
          <w:tblHeader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Definição operacional e unidade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Fonte ou método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RQ01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Releases válidas / semanas da janela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GitHub REST; releases/semana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RQ02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(a) release - commit mais antigo, depois mediana; (b) mediana de todos os commits por projeto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 API / histórico Git; horas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RQ03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(a) falhas/(falhas+sucessos); (b) release seguida de corretiva em ≤7 dias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Runs e heurística; proporção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RQ04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Próximo sucesso - primeira falha após sucesso, no mesmo workflow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Runs; horas; censura explícita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RQ05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Spearman bilateral em frequência × cada CFR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ρ, p assintótico e permutação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RQ06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Três fatores × seis medidas; Holm nos 18 testes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Kruskal-Wallis; ε²=H/(n−1)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RQ07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Mudança de categoria e kappa linear ponderado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C1-C4; quatro notas e mediana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RQ08</w:t>
            </w:r>
          </w:p>
        </w:tc>
        <w:tc>
          <w:tcPr>
            <w:tcW w:type="dxa" w:w="5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Releases corretivas / total de releases válidas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Heurística; razão exploratória</w:t>
            </w:r>
          </w:p>
        </w:tc>
      </w:tr>
    </w:tbl>
    <w:p>
      <w:pPr>
        <w:spacing w:after="0"/>
      </w:pP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3.6 Inovações Propostas pelo Grupo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Além das análises principais, o pipeline mantém dados persistentes e permite executar B e C localmente a partir de A, sem novo token. Publicamos classificação estrita de casos completos e uma extensão para dados parciais, acompanhadas de testes de integração e hashes. Na RQ05, uma permutação bilateral Monte Carlo com 9.999 repetições e sementes 42/43 complementa o p assintótico. Essas extensões não substituem os requisitos principais nem comprovam, por si, a parcela de inovação prevista no template.</w:t>
      </w:r>
    </w:p>
    <w:p>
      <w:r>
        <w:br w:type="page"/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bônus de retrabalho é tratado como RQ08, e não como uma pergunta inédita. Para essa sprint final, corrigimos sua definição: contar releases que recebem uma correção posterior não é o mesmo que contar as releases corretivas. A Figura 10 usa a segunda contagem, recalculada dos dados brutos locais, e preserva dois casos desconhecidos.</w:t>
      </w:r>
    </w:p>
    <w:p>
      <w:pPr>
        <w:keepNext w:val="0"/>
        <w:widowControl w:val="0"/>
        <w:spacing w:line="300" w:lineRule="exact" w:before="162" w:after="126"/>
        <w:jc w:val="left"/>
      </w:pPr>
      <w:r>
        <w:rPr>
          <w:rFonts w:ascii="Arial" w:hAnsi="Arial"/>
          <w:b/>
          <w:i w:val="0"/>
          <w:color w:val="1F3A5F"/>
          <w:sz w:val="22"/>
        </w:rPr>
        <w:t>4. Resultados</w:t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4.1 Coleta de Dados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orçamento reuniu 1.100 candidatos únicos. O funil registra 917 com Actions e 88 consultas pendentes nessa etapa; 95 foram excluídos por esse critério. Após releases e runs, 302 eram elegíveis e 300 foram selecionados, com dois fora do limite. Pendência não foi contada como exclusão nem como ausência de atividade.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1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1. Funil de seleção. Na etapa de Actions, há 88 pendentes além dos 95 excluídos; as barras mostram somente quem segue. Fonte: selecao/funnel.csv.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duas definições de CFR e o lead time por release têm n=300; lead time por commit, n=299, após excluir o negativo de tw93/Mole. Recuperação tem n=258: 37 projetos sem episódio e cinco apenas com episódios censurados. Há duas comparações de commits indisponíveis no inventário; o dataset mantém valores ausentes, em vez de inventar zeros.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 xml:space="preserve">A amostra-ouro reúne 60 projetos × cinco releases, sorteados com </w:t>
      </w:r>
      <w:r>
        <w:rPr>
          <w:rFonts w:ascii="Arial" w:hAnsi="Arial"/>
          <w:b/>
          <w:i w:val="0"/>
          <w:color w:val="000000"/>
          <w:sz w:val="22"/>
        </w:rPr>
        <w:t>semente 42</w:t>
      </w:r>
      <w:r>
        <w:rPr>
          <w:rFonts w:ascii="Arial" w:hAnsi="Arial"/>
          <w:b w:val="0"/>
          <w:i w:val="0"/>
          <w:color w:val="000000"/>
          <w:sz w:val="22"/>
        </w:rPr>
        <w:t xml:space="preserve"> entre 299 projetos com comparações disponíveis. Os três arquivos oficiais estão preenchidos. O consenso operacional e a calibração foram concluídos: </w:t>
      </w:r>
      <w:r>
        <w:rPr>
          <w:rFonts w:ascii="Arial" w:hAnsi="Arial"/>
          <w:b/>
          <w:i w:val="0"/>
          <w:color w:val="000000"/>
          <w:sz w:val="22"/>
        </w:rPr>
        <w:t>112 corretivas, 188 não corretivas; melhor F1=55,07%</w:t>
      </w:r>
      <w:r>
        <w:rPr>
          <w:rFonts w:ascii="Arial" w:hAnsi="Arial"/>
          <w:b w:val="0"/>
          <w:i w:val="0"/>
          <w:color w:val="000000"/>
          <w:sz w:val="22"/>
        </w:rPr>
        <w:t>. O procedimento e seus limites estão no Apêndice A (página 10).</w:t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4.2 Visualização Gráfica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RQ01 - Qual é a frequência de releases?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mediana é 0,46 release/semana, Q1=0,23 e Q3=1,00 (IQR=0,77; n=300). A distribuição é assimétrica: poucos projetos têm cadência muito superior ao centro da amostra.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2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2. Histograma da frequência com bins e eixo logarítmicos; a linha marca a mediana. Cada projeto contribui uma observação.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RQ02 - Como diferem os dois lead times?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mediana das medianas por release é 325,37 h (IQR=989,67; n=300); por commit, 428,62 h (IQR=1.738,16; n=299). A diferença entre as duas medianas marginais não representa uma diferença pareada universal: os pesos das releases e dos commits são distintos.</w:t>
      </w:r>
    </w:p>
    <w:p>
      <w:r>
        <w:br w:type="page"/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3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3. Violinos e boxplots das medianas por projeto. Densidade estimada em log10(1+horas); eixo rotulado em horas. A largura suavizada indica concentração, não contagem exata nem valores negativos.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RQ03 - Qual é a taxa de falha nos dois proxies?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CFR de CI tem mediana 5,64% (IQR=12,18 pontos percentuais). O proxy de entrega tem mediana 25,00% (IQR=42,36 pontos), ambos n=300. O segundo resultado permanece exploratório: a calibração no consenso operacional teve F1=55,07%, abaixo do mínimo de 70% (Apêndice A). Falha de CI não é considerada incidente de produção.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4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4. Boxplots de CFR por projeto, com mediana, quartis e pontos além dos bigodes. A escala comum permite comparar os proxies sem assumir que medem o mesmo fenômeno.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RQ04 - Quanto tempo demora a recuperação observada?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mediana é 3,77 h, com Q1=1,44 h e Q3=12,56 h (IQR=11,13 h; n=258). A fração censurada tem mediana zero entre 263 projetos com denominador. Mediana zero de censura não significa ausência de episódios censurados em toda a coorte.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5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5. ECDF das medianas observadas e barras de cobertura. Os 42 casos sem recuperação observada não recebem duração zero. A ECDF descreve somente episódios com recuperação concluída, não uma estimativa de sobrevivência.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RQ05 - Frequência de releases está associada à taxa de falha?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CI, ρ=0,064, p=0,2708 e p de permutação=0,2718 (n=300): não detectamos associação monotônica a 5%. Para entrega, ρ=0,571, p&lt;0,0001 e p de permutação=0,0001 (n=300): há associação positiva, ainda exploratória diante do F1 insuficiente e das limitações de independência da referência de calibração.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6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6. Dispersões dos dois proxies contra frequência em escala logarítmica. As sementes são 42 e 43; p Monte Carlo tem resolução mínima 0,0001. A correlação não demonstra que publicar mais causa falhas.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RQ06 - Quais características estão associadas a diferenças nas métricas?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Dividimos estrelas, contribuidores e idade em quartis, definidos antes de filtrar cada medida. Os três fatores têm 75 projetos por grupo antes das exclusões. Todos os 18 testes foram estimáveis; oito rejeitaram igualdade de distribuições após Holm, α=0,05. Não fizemos post-hoc: o teste global não identifica sozinho quais pares diferem.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7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7. Tamanho de efeito ε²=H/(n−1) nos 18 testes. † indica p de Holm&lt;0,05. CFR b* é exploratório. Cor mostra magnitude de associação, sem interpretação causal e sem transpor cortes de Cliff’s delta para ε².</w:t>
      </w:r>
    </w:p>
    <w:p>
      <w:r>
        <w:br w:type="page"/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RQ06 - Como o lead time varia entre quartis de idade?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Idade apresenta os maiores efeitos nos lead times: ε²=0,294 por release e 0,298 por commit, com p de Holm&lt;0,0001. Contribuidores apresenta ε²=0,097 e 0,171 nessas variantes. Não houve rejeição após Holm para CFR de CI ou recuperação em nenhum dos três fatores.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8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8. Lead time por release entre quartis de idade, com violinos e boxplots. Densidade estimada na transformação log10(1+horas); grupos têm n=75. A idade é associada à distribuição, não uma causa demonstrada do lead time.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RQ07 - Quanto a categoria muda ao trocar a definição operacional?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C1 usa lead time por release e CFR de CI; C2 usa lead time por commit e CFR de entrega. C3 troca só o CFR e C4, só o lead time. Frequência e recuperação são mantidas. Entre C1 e C2, 82/300 mudam de categoria (27,3%): 18 sobem e 64 descem; κ linear=0,5745. A C1 completa tem 258 projetos: 15 Low, 132 Medium, 103 High e oito Elite.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9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9. Matriz de C1 para C2 nos 300 projetos com dimensões disponíveis; barras da C1 completa nos 258 casos. Políticas distintas de cobertura não devem ser confundidas. A réplica Python conferiu os seis kappas com tolerância de 10</w:t>
      </w:r>
      <w:r>
        <w:rPr>
          <w:rFonts w:ascii="Arial" w:hAnsi="Arial"/>
          <w:b w:val="0"/>
          <w:i w:val="0"/>
          <w:color w:val="000000"/>
          <w:sz w:val="20"/>
          <w:vertAlign w:val="superscript"/>
        </w:rPr>
        <w:t>-9</w:t>
      </w:r>
      <w:r>
        <w:rPr>
          <w:rFonts w:ascii="Arial" w:hAnsi="Arial"/>
          <w:b w:val="0"/>
          <w:i w:val="0"/>
          <w:color w:val="000000"/>
          <w:sz w:val="20"/>
        </w:rPr>
        <w:t>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RQ08 - Qual é a proporção de releases corretivas?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Recontamos as releases classificadas como corretivas pela heurística fix-majority-v3, sem usar o número de releases que falharam como numerador. Nos 299 projetos sem comparações desconhecidas, a mediana é 60,00%, com Q1=22,90% e Q3=85,60%. Um projeto tem duas comparações desconhecidas e fica fora dessa estatística pontual, com intervalo mínimo/máximo registrado no artefato de apoio.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Figura 10</w:t>
      </w:r>
    </w:p>
    <w:p>
      <w:pPr>
        <w:keepNext w:val="0"/>
        <w:widowControl w:val="0"/>
        <w:spacing w:line="254" w:lineRule="exact" w:before="0" w:after="126"/>
        <w:jc w:val="both"/>
      </w:pPr>
      <w:r>
        <w:rPr>
          <w:rFonts w:ascii="Arial" w:hAnsi="Arial"/>
          <w:b w:val="0"/>
          <w:i w:val="0"/>
          <w:color w:val="000000"/>
          <w:sz w:val="20"/>
        </w:rPr>
        <w:t>Figura 10. Histograma exploratório da proporção de releases corretivas (n=299). Esta medida difere de failed/total: corrigir uma release e precisar de correção são observações distintas. Com F1=55,07%, abaixo do mínimo de 70%, não constitui mensuração validada de retrabalho em produção.</w:t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4.3 Discussão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associações distintas nos proxies de CI e entrega impedem uma resposta única sobre velocidade versus estabilidade. A regra “corretiva em até sete dias” pode relacionar mecanicamente frequência e falha: mais releases oferecem mais oportunidades de correção próxima. Não se demonstra um trade-off causal nem se refuta diretamente a pesquisa DORA sobre produção.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sensibilidade confirma a importância das definições operacionais, mas não prova robustez das correlações e testes a todas as variantes; seria preciso repeti-los. Idade e contribuidores podem representar maturidade, tamanho e práticas não observadas.</w:t>
      </w:r>
    </w:p>
    <w:p>
      <w:r>
        <w:br w:type="page"/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calibração quantifica uma limitação central: 88 falsos positivos e 36 falsos negativos em 300 referências. Embora a concordância corretiva tenha κ=0,9321, a origem comum das sugestões de IA impede tratá-la como evidência de confiabilidade humana independente. O consenso operacional não demonstra que o proxy represente incidentes reais em produção.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Não comparamos hipóteses a priori ausentes como se estivessem registradas. A extensão por permutação conserva o resultado qualitativo das correlações. A separação de C1 completa/parcial e o registro dos casos ambíguos expõem incertezas que seriam escondidas por imputação zero ou pelo uso de métricas sem validação suficiente.</w:t>
      </w:r>
    </w:p>
    <w:p>
      <w:pPr>
        <w:keepNext w:val="0"/>
        <w:widowControl w:val="0"/>
        <w:spacing w:line="300" w:lineRule="exact" w:before="162" w:after="126"/>
        <w:jc w:val="left"/>
      </w:pPr>
      <w:r>
        <w:rPr>
          <w:rFonts w:ascii="Arial" w:hAnsi="Arial"/>
          <w:b/>
          <w:i w:val="0"/>
          <w:color w:val="1F3A5F"/>
          <w:sz w:val="22"/>
        </w:rPr>
        <w:t>5. Conclusão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Nesta coorte de 300 repositórios populares, os dados descrevem cadências e durações muito assimétricas e resultados sensíveis à forma de medir. As RQ01-04 fornecem a referência descritiva; RQ05 não detectou associação entre frequência e CFR de CI, enquanto encontrou associação no proxy exploratório de entrega. Na RQ06, oito dos 18 testes permaneceram significativos após Holm, principalmente para lead time, idade e contribuidores. A RQ07 mostrou mudança de faixa em mais de um quarto da amostra entre duas definições.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consenso operacional e a calibração foram concluídos: a melhor heurística teve precisão de 46,34%, recall de 67,86% e F1 de 55,07%, abaixo do mínimo de 70%. Assim, o CFR (b) e a RQ08 permanecem exploratórios. O uso de proxies, a seleção de projetos populares, a disponibilidade do histórico, metadados posteriores à janela, pesos de agregação, censura e a origem compartilhada das sugestões limitam a interpretação. As faixas da disciplina não autorizam ranquear organizações ou inferir falhas reais em produção.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Para a entrega definitiva, ainda é necessário recuperar o registro de hipóteses, confirmar a política de WIP e anexar a captura do Projects. A heurística exige revisão e avaliação adequada, idealmente independente. Se a regra mudar, devem ser recalculados os resultados dependentes. Não alteramos os rótulos para atingir o corte de F1. A análise descritiva pode ser reproduzida sem novo token; a recontagem RQ08 requer os arquivos brutos de releases.</w:t>
      </w:r>
    </w:p>
    <w:p>
      <w:pPr>
        <w:keepNext w:val="0"/>
        <w:widowControl w:val="0"/>
        <w:spacing w:line="300" w:lineRule="exact" w:before="162" w:after="126"/>
        <w:jc w:val="left"/>
      </w:pPr>
      <w:r>
        <w:rPr>
          <w:rFonts w:ascii="Arial" w:hAnsi="Arial"/>
          <w:b/>
          <w:i w:val="0"/>
          <w:color w:val="1F3A5F"/>
          <w:sz w:val="22"/>
        </w:rPr>
        <w:t>6. Referências</w:t>
      </w:r>
    </w:p>
    <w:p>
      <w:pPr>
        <w:keepNext w:val="0"/>
        <w:widowControl w:val="0"/>
        <w:spacing w:line="260" w:lineRule="exact" w:before="0" w:after="108"/>
        <w:jc w:val="left"/>
      </w:pPr>
      <w:r>
        <w:rPr>
          <w:rFonts w:ascii="Arial" w:hAnsi="Arial"/>
          <w:b w:val="0"/>
          <w:i w:val="0"/>
          <w:color w:val="000000"/>
          <w:sz w:val="20"/>
        </w:rPr>
        <w:t>DORA. Software delivery performance metrics. Atualização de 05 jan. 2026. https://dora.dev/guides/dora-metrics/ (acesso em 18 out. 2026).</w:t>
      </w:r>
    </w:p>
    <w:p>
      <w:pPr>
        <w:keepNext w:val="0"/>
        <w:widowControl w:val="0"/>
        <w:spacing w:line="260" w:lineRule="exact" w:before="0" w:after="108"/>
        <w:jc w:val="left"/>
      </w:pPr>
      <w:r>
        <w:rPr>
          <w:rFonts w:ascii="Arial" w:hAnsi="Arial"/>
          <w:b w:val="0"/>
          <w:i w:val="0"/>
          <w:color w:val="000000"/>
          <w:sz w:val="20"/>
        </w:rPr>
        <w:t>FORSGREN, N.; HUMBLE, J.; KIM, G. Accelerate. IT Revolution, 2018.</w:t>
      </w:r>
    </w:p>
    <w:p>
      <w:pPr>
        <w:keepNext w:val="0"/>
        <w:widowControl w:val="0"/>
        <w:spacing w:line="260" w:lineRule="exact" w:before="0" w:after="108"/>
        <w:jc w:val="left"/>
      </w:pPr>
      <w:r>
        <w:rPr>
          <w:rFonts w:ascii="Arial" w:hAnsi="Arial"/>
          <w:b w:val="0"/>
          <w:i w:val="0"/>
          <w:color w:val="000000"/>
          <w:sz w:val="20"/>
        </w:rPr>
        <w:t>SciPy. spearmanr e kruskal. Documentação de scipy.stats. https://docs.scipy.org/doc/scipy/reference/stats.html.</w:t>
      </w:r>
    </w:p>
    <w:p>
      <w:pPr>
        <w:keepNext w:val="0"/>
        <w:widowControl w:val="0"/>
        <w:spacing w:line="260" w:lineRule="exact" w:before="0" w:after="108"/>
        <w:jc w:val="left"/>
      </w:pPr>
      <w:r>
        <w:rPr>
          <w:rFonts w:ascii="Arial" w:hAnsi="Arial"/>
          <w:b w:val="0"/>
          <w:i w:val="0"/>
          <w:color w:val="000000"/>
          <w:sz w:val="20"/>
        </w:rPr>
        <w:t>Statsmodels. multipletests e correção de Holm. https://www.statsmodels.org/stable/generated/statsmodels.stats.multitest.multipletests.html.</w:t>
      </w:r>
    </w:p>
    <w:p>
      <w:pPr>
        <w:keepNext w:val="0"/>
        <w:widowControl w:val="0"/>
        <w:spacing w:line="260" w:lineRule="exact" w:before="0" w:after="108"/>
        <w:jc w:val="left"/>
      </w:pPr>
      <w:r>
        <w:rPr>
          <w:rFonts w:ascii="Arial" w:hAnsi="Arial"/>
          <w:b w:val="0"/>
          <w:i w:val="0"/>
          <w:color w:val="000000"/>
          <w:sz w:val="20"/>
        </w:rPr>
        <w:t>HYNDMAN, R. J.; FAN, Y. Sample quantiles in statistical packages. The American Statistician, v. 50, n. 4, p. 361-365, 1996.</w:t>
      </w:r>
    </w:p>
    <w:p>
      <w:pPr>
        <w:keepNext w:val="0"/>
        <w:widowControl w:val="0"/>
        <w:spacing w:line="260" w:lineRule="exact" w:before="0" w:after="108"/>
        <w:jc w:val="left"/>
      </w:pPr>
      <w:r>
        <w:rPr>
          <w:rFonts w:ascii="Arial" w:hAnsi="Arial"/>
          <w:b w:val="0"/>
          <w:i w:val="0"/>
          <w:color w:val="000000"/>
          <w:sz w:val="20"/>
        </w:rPr>
        <w:t>Equipe DORA. Consenso operacional e calibração CFR (b), 20 out. 2026. Repositório alencarleandro/DORA: data/gold-standard-final-300-2025/ e data/dataset-s02-final/validacao/cfr-b/.</w:t>
      </w:r>
    </w:p>
    <w:p>
      <w:r>
        <w:br w:type="page"/>
      </w:r>
    </w:p>
    <w:p>
      <w:pPr>
        <w:keepNext w:val="0"/>
        <w:widowControl w:val="0"/>
        <w:spacing w:line="300" w:lineRule="exact" w:before="144" w:after="126"/>
        <w:jc w:val="left"/>
      </w:pPr>
      <w:r>
        <w:rPr>
          <w:rFonts w:ascii="Arial" w:hAnsi="Arial"/>
          <w:b/>
          <w:i w:val="0"/>
          <w:color w:val="1F6E63"/>
          <w:sz w:val="22"/>
        </w:rPr>
        <w:t>Apêndice A - Consenso e calibração do CFR (b)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 xml:space="preserve">Em 20/10/2026, os três arquivos oficiais da amostra final continham 300 classificações cada. As 300 referências foram conferidas contra tags e datas reais da janela de 01/01 a 31/12/2025. A concordância abaixo foi medida </w:t>
      </w:r>
      <w:r>
        <w:rPr>
          <w:rFonts w:ascii="Arial" w:hAnsi="Arial"/>
          <w:b/>
          <w:i w:val="0"/>
          <w:color w:val="000000"/>
          <w:sz w:val="22"/>
        </w:rPr>
        <w:t>antes da adjudicação</w:t>
      </w:r>
      <w:r>
        <w:rPr>
          <w:rFonts w:ascii="Arial" w:hAnsi="Arial"/>
          <w:b w:val="0"/>
          <w:i w:val="0"/>
          <w:color w:val="000000"/>
          <w:sz w:val="22"/>
        </w:rPr>
        <w:t>, preservando as respostas individuais.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00"/>
        <w:gridCol w:w="700"/>
        <w:gridCol w:w="3000"/>
        <w:gridCol w:w="2500"/>
      </w:tblGrid>
      <w:tr>
        <w:trPr>
          <w:cantSplit/>
          <w:tblHeader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Dimensão</w:t>
            </w:r>
          </w:p>
        </w:tc>
        <w:tc>
          <w:tcPr>
            <w:tcW w:type="dxa" w:w="7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Concordância observada</w:t>
            </w:r>
          </w:p>
        </w:tc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κ de Fleiss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Tipo de projeto</w:t>
            </w:r>
          </w:p>
        </w:tc>
        <w:tc>
          <w:tcPr>
            <w:tcW w:type="dxa" w:w="7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96,67%</w:t>
            </w:r>
          </w:p>
        </w:tc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0,9490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 real</w:t>
            </w:r>
          </w:p>
        </w:tc>
        <w:tc>
          <w:tcPr>
            <w:tcW w:type="dxa" w:w="7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95,56%</w:t>
            </w:r>
          </w:p>
        </w:tc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0,4055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Release corretiva</w:t>
            </w:r>
          </w:p>
        </w:tc>
        <w:tc>
          <w:tcPr>
            <w:tcW w:type="dxa" w:w="7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30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96,89%</w:t>
            </w:r>
          </w:p>
        </w:tc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0,9321</w:t>
            </w:r>
          </w:p>
        </w:tc>
      </w:tr>
    </w:tbl>
    <w:p>
      <w:pPr>
        <w:spacing w:after="0"/>
      </w:pPr>
    </w:p>
    <w:p>
      <w:pPr>
        <w:widowControl w:val="0"/>
        <w:spacing w:line="20" w:lineRule="exact" w:after="112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 xml:space="preserve">Foram identificadas divergências em </w:t>
      </w:r>
      <w:r>
        <w:rPr>
          <w:rFonts w:ascii="Arial" w:hAnsi="Arial"/>
          <w:b/>
          <w:i w:val="0"/>
          <w:color w:val="000000"/>
          <w:sz w:val="22"/>
        </w:rPr>
        <w:t>14 releases</w:t>
      </w:r>
      <w:r>
        <w:rPr>
          <w:rFonts w:ascii="Arial" w:hAnsi="Arial"/>
          <w:b w:val="0"/>
          <w:i w:val="0"/>
          <w:color w:val="000000"/>
          <w:sz w:val="22"/>
        </w:rPr>
        <w:t xml:space="preserve"> quanto à finalidade corretiva e em </w:t>
      </w:r>
      <w:r>
        <w:rPr>
          <w:rFonts w:ascii="Arial" w:hAnsi="Arial"/>
          <w:b/>
          <w:i w:val="0"/>
          <w:color w:val="000000"/>
          <w:sz w:val="22"/>
        </w:rPr>
        <w:t>7 projetos</w:t>
      </w:r>
      <w:r>
        <w:rPr>
          <w:rFonts w:ascii="Arial" w:hAnsi="Arial"/>
          <w:b w:val="0"/>
          <w:i w:val="0"/>
          <w:color w:val="000000"/>
          <w:sz w:val="22"/>
        </w:rPr>
        <w:t xml:space="preserve"> quanto a tipo ou entrega real. O grupo autorizou o assistente a adjudicar esses casos pelas notas, commits e evidências salvas. O consenso operacional resultou em </w:t>
      </w:r>
      <w:r>
        <w:rPr>
          <w:rFonts w:ascii="Arial" w:hAnsi="Arial"/>
          <w:b/>
          <w:i w:val="0"/>
          <w:color w:val="000000"/>
          <w:sz w:val="22"/>
        </w:rPr>
        <w:t>112 corretivas e 188 não corretivas</w:t>
      </w:r>
      <w:r>
        <w:rPr>
          <w:rFonts w:ascii="Arial" w:hAnsi="Arial"/>
          <w:b w:val="0"/>
          <w:i w:val="0"/>
          <w:color w:val="000000"/>
          <w:sz w:val="22"/>
        </w:rPr>
        <w:t>; os 286 rótulos corretivos unânimes foram mantidos.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/>
          <w:i w:val="0"/>
          <w:color w:val="000000"/>
          <w:sz w:val="22"/>
        </w:rPr>
        <w:t>Limite metodológico:</w:t>
      </w:r>
      <w:r>
        <w:rPr>
          <w:rFonts w:ascii="Arial" w:hAnsi="Arial"/>
          <w:b w:val="0"/>
          <w:i w:val="0"/>
          <w:color w:val="000000"/>
          <w:sz w:val="22"/>
        </w:rPr>
        <w:t xml:space="preserve"> Luis e Leandro partiram de sugestões de IA comuns, posteriormente revisadas e aceitas conforme registrado. Por isso, a concordância não demonstra independência de três avaliadores humanos. As divergências foram resolvidas por adjudicação de IA delegada, com justificativas registradas, sem afirmar discussão humana por item.</w:t>
      </w:r>
    </w:p>
    <w:p>
      <w:pPr>
        <w:keepNext w:val="0"/>
        <w:widowControl w:val="0"/>
        <w:spacing w:line="300" w:lineRule="exact" w:before="126" w:after="108"/>
        <w:jc w:val="left"/>
      </w:pPr>
      <w:r>
        <w:rPr>
          <w:rFonts w:ascii="Arial" w:hAnsi="Arial"/>
          <w:b/>
          <w:i w:val="0"/>
          <w:color w:val="000000"/>
          <w:sz w:val="22"/>
        </w:rPr>
        <w:t>Desempenho das três versões na referência operacional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560"/>
        <w:gridCol w:w="560"/>
        <w:gridCol w:w="560"/>
        <w:gridCol w:w="560"/>
        <w:gridCol w:w="1560"/>
        <w:gridCol w:w="1560"/>
        <w:gridCol w:w="1540"/>
      </w:tblGrid>
      <w:tr>
        <w:trPr>
          <w:cantSplit/>
          <w:tblHeader/>
        </w:trPr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Versão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TP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FP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FN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TN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Precisão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Recall</w:t>
            </w:r>
          </w:p>
        </w:tc>
        <w:tc>
          <w:tcPr>
            <w:tcW w:type="dxa" w:w="15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  <w:shd w:fill="EAF1F0"/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F1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patch-v1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116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47,45%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58,04%</w:t>
            </w:r>
          </w:p>
        </w:tc>
        <w:tc>
          <w:tcPr>
            <w:tcW w:type="dxa" w:w="15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52,21%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patch-or-fix-v2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106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178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37,32%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94,64%</w:t>
            </w:r>
          </w:p>
        </w:tc>
        <w:tc>
          <w:tcPr>
            <w:tcW w:type="dxa" w:w="15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53,54%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fix-majority-v3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46,34%</w:t>
            </w:r>
          </w:p>
        </w:tc>
        <w:tc>
          <w:tcPr>
            <w:tcW w:type="dxa" w:w="15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67,86%</w:t>
            </w:r>
          </w:p>
        </w:tc>
        <w:tc>
          <w:tcPr>
            <w:tcW w:type="dxa" w:w="154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B7C3C6"/>
              <w:left w:val="single" w:sz="4" w:color="B7C3C6"/>
              <w:bottom w:val="single" w:sz="4" w:color="B7C3C6"/>
              <w:right w:val="single" w:sz="4" w:color="B7C3C6"/>
            </w:tcBorders>
          </w:tcPr>
          <w:p>
            <w:pPr>
              <w:keepNext w:val="0"/>
              <w:widowControl w:val="0"/>
              <w:spacing w:line="240" w:lineRule="exact" w:before="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55,07%</w:t>
            </w:r>
          </w:p>
        </w:tc>
      </w:tr>
    </w:tbl>
    <w:p>
      <w:pPr>
        <w:spacing w:after="0"/>
      </w:pPr>
    </w:p>
    <w:p>
      <w:pPr>
        <w:widowControl w:val="0"/>
        <w:spacing w:line="20" w:lineRule="exact" w:after="112" w:before="0"/>
      </w:pP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 xml:space="preserve">A melhor versão foi </w:t>
      </w:r>
      <w:r>
        <w:rPr>
          <w:rFonts w:ascii="Arial" w:hAnsi="Arial"/>
          <w:b/>
          <w:i w:val="0"/>
          <w:color w:val="000000"/>
          <w:sz w:val="22"/>
        </w:rPr>
        <w:t>fix-majority-v3</w:t>
      </w:r>
      <w:r>
        <w:rPr>
          <w:rFonts w:ascii="Arial" w:hAnsi="Arial"/>
          <w:b w:val="0"/>
          <w:i w:val="0"/>
          <w:color w:val="000000"/>
          <w:sz w:val="22"/>
        </w:rPr>
        <w:t xml:space="preserve">: precisão de </w:t>
      </w:r>
      <w:r>
        <w:rPr>
          <w:rFonts w:ascii="Arial" w:hAnsi="Arial"/>
          <w:b/>
          <w:i w:val="0"/>
          <w:color w:val="000000"/>
          <w:sz w:val="22"/>
        </w:rPr>
        <w:t>46,34%</w:t>
      </w:r>
      <w:r>
        <w:rPr>
          <w:rFonts w:ascii="Arial" w:hAnsi="Arial"/>
          <w:b w:val="0"/>
          <w:i w:val="0"/>
          <w:color w:val="000000"/>
          <w:sz w:val="22"/>
        </w:rPr>
        <w:t xml:space="preserve">, recall de </w:t>
      </w:r>
      <w:r>
        <w:rPr>
          <w:rFonts w:ascii="Arial" w:hAnsi="Arial"/>
          <w:b/>
          <w:i w:val="0"/>
          <w:color w:val="000000"/>
          <w:sz w:val="22"/>
        </w:rPr>
        <w:t>67,86%</w:t>
      </w:r>
      <w:r>
        <w:rPr>
          <w:rFonts w:ascii="Arial" w:hAnsi="Arial"/>
          <w:b w:val="0"/>
          <w:i w:val="0"/>
          <w:color w:val="000000"/>
          <w:sz w:val="22"/>
        </w:rPr>
        <w:t xml:space="preserve"> e F1 de </w:t>
      </w:r>
      <w:r>
        <w:rPr>
          <w:rFonts w:ascii="Arial" w:hAnsi="Arial"/>
          <w:b/>
          <w:i w:val="0"/>
          <w:color w:val="000000"/>
          <w:sz w:val="22"/>
        </w:rPr>
        <w:t>55,07%</w:t>
      </w:r>
      <w:r>
        <w:rPr>
          <w:rFonts w:ascii="Arial" w:hAnsi="Arial"/>
          <w:b w:val="0"/>
          <w:i w:val="0"/>
          <w:color w:val="000000"/>
          <w:sz w:val="22"/>
        </w:rPr>
        <w:t xml:space="preserve">. Sua matriz tem 76 verdadeiros positivos, 88 falsos positivos, 36 falsos negativos e 100 verdadeiros negativos. O F1 </w:t>
      </w:r>
      <w:r>
        <w:rPr>
          <w:rFonts w:ascii="Arial" w:hAnsi="Arial"/>
          <w:b/>
          <w:i w:val="0"/>
          <w:color w:val="000000"/>
          <w:sz w:val="22"/>
        </w:rPr>
        <w:t>não atingiu o mínimo de 70%</w:t>
      </w:r>
      <w:r>
        <w:rPr>
          <w:rFonts w:ascii="Arial" w:hAnsi="Arial"/>
          <w:b w:val="0"/>
          <w:i w:val="0"/>
          <w:color w:val="000000"/>
          <w:sz w:val="22"/>
        </w:rPr>
        <w:t>; a heurística não foi aprovada.</w:t>
      </w:r>
    </w:p>
    <w:p>
      <w:pPr>
        <w:keepNext w:val="0"/>
        <w:widowControl w:val="0"/>
        <w:spacing w:line="300" w:lineRule="exact" w:before="0" w:after="108"/>
        <w:jc w:val="both"/>
      </w:pPr>
      <w:r>
        <w:rPr>
          <w:rFonts w:ascii="Arial" w:hAnsi="Arial"/>
          <w:b w:val="0"/>
          <w:i w:val="0"/>
          <w:color w:val="000000"/>
          <w:sz w:val="22"/>
        </w:rPr>
        <w:t xml:space="preserve">Precisão = TP/(TP+FP); recall = TP/(TP+FN); F1 = 2TP/(2TP+FP+FN). Selecionar a melhor versão no mesmo consenso é </w:t>
      </w:r>
      <w:r>
        <w:rPr>
          <w:rFonts w:ascii="Arial" w:hAnsi="Arial"/>
          <w:b/>
          <w:i w:val="0"/>
          <w:color w:val="000000"/>
          <w:sz w:val="22"/>
        </w:rPr>
        <w:t>calibração, não teste independente</w:t>
      </w:r>
      <w:r>
        <w:rPr>
          <w:rFonts w:ascii="Arial" w:hAnsi="Arial"/>
          <w:b w:val="0"/>
          <w:i w:val="0"/>
          <w:color w:val="000000"/>
          <w:sz w:val="22"/>
        </w:rPr>
        <w:t>. Os valores do dataset e as análises anteriores não foram recalculados: a versão já utilizada continuou sendo a melhor, mas seu desempenho insuficiente mantém exploratórios o CFR (b) e a RQ08.</w:t>
      </w:r>
    </w:p>
    <w:p>
      <w:pPr>
        <w:keepNext w:val="0"/>
        <w:widowControl w:val="0"/>
        <w:spacing w:line="260" w:lineRule="exact" w:before="0" w:after="108"/>
        <w:jc w:val="left"/>
      </w:pPr>
      <w:r>
        <w:rPr>
          <w:rFonts w:ascii="Arial" w:hAnsi="Arial"/>
          <w:b w:val="0"/>
          <w:i w:val="0"/>
          <w:color w:val="000000"/>
          <w:sz w:val="20"/>
        </w:rPr>
        <w:t>Rastreabilidade: data/gold-standard-final-300-2025/consensus.csv, adjudication-log.json e agreement_report.json; data/dataset-s02-final/validacao/cfr-b/validation.json e heuristic-versions.csv. As matrizes foram recontadas a partir das previsões e os 19 testes de concordância e heurística passaram.</w:t>
      </w:r>
    </w:p>
    <w:sectPr w:rsidR="00FC693F" w:rsidRPr="0006063C" w:rsidSect="00034616">
      <w:footerReference w:type="default" r:id="rId9"/>
      <w:pgSz w:w="12240" w:h="15840"/>
      <w:pgMar w:top="1134" w:right="1417" w:bottom="780" w:left="1417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Lab03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Laboratório de Experimentação de Software</dc:title>
  <dc:subject/>
  <dc:creator>Isabella Dias; Leandro Alencar; Luis Henrique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