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Requisition to Payment</w:t>
      </w:r>
    </w:p>
    <w:p>
      <w:pPr>
        <w:jc w:val="center"/>
      </w:pPr>
      <w:r>
        <w:rPr>
          <w:color w:val="595959"/>
          <w:sz w:val="28"/>
        </w:rPr>
        <w:t>DEX CDS Entity Relationship Overview</w:t>
      </w:r>
    </w:p>
    <w:p>
      <w:pPr>
        <w:jc w:val="center"/>
      </w:pPr>
      <w:r>
        <w:rPr>
          <w:i/>
          <w:sz w:val="18"/>
        </w:rPr>
        <w:t>SAP S/4HANA extraction-enabled CDS views (C_*DEX / I_*DEX and related masters)</w:t>
        <w:br/>
        <w:t>For use with Z_CDS_EXPLORER_2_FILE / sap-dex2file</w:t>
      </w:r>
    </w:p>
    <w:p/>
    <w:p>
      <w:pPr>
        <w:pStyle w:val="Heading1"/>
      </w:pPr>
      <w:r>
        <w:t>1. Purpose</w:t>
      </w:r>
    </w:p>
    <w:p>
      <w:r>
        <w:t>This document describes how the main data-extraction (DEX) CDS entities for the Requisition-to-Payment (Procure-to-Pay) process relate to each other, including relevant master data. Exact availability depends on the SAP S/4HANA release; confirm entities in IXTRCTNENBLDVW or Z_CDS_EXPLORER_2_FILE before extraction.</w:t>
      </w:r>
    </w:p>
    <w:p>
      <w:pPr>
        <w:pStyle w:val="Heading1"/>
      </w:pPr>
      <w:r>
        <w:t>2. Process spine</w:t>
      </w:r>
    </w:p>
    <w:p>
      <w:r>
        <w:t>The transactional backbone follows this sequence. Each arrow is a typical document flow / join path:</w:t>
      </w:r>
    </w:p>
    <w:p>
      <w:pPr>
        <w:jc w:val="center"/>
      </w:pPr>
      <w:r>
        <w:rPr>
          <w:rFonts w:ascii="Consolas" w:hAnsi="Consolas"/>
          <w:sz w:val="20"/>
        </w:rPr>
        <w:t>Purchase Requisition</w:t>
        <w:br/>
        <w:t xml:space="preserve">        ↓</w:t>
        <w:br/>
        <w:t>Contract / Scheduling Agreement  (optional source of supply)</w:t>
        <w:br/>
        <w:t xml:space="preserve">        ↓</w:t>
        <w:br/>
        <w:t>Purchase Order  (Header → Item → Schedule Line / Account Assignment / Confirmation)</w:t>
        <w:br/>
        <w:t xml:space="preserve">        ↓</w:t>
        <w:br/>
        <w:t>Inbound Delivery  (optional)</w:t>
        <w:br/>
        <w:t xml:space="preserve">        ↓</w:t>
        <w:br/>
        <w:t>Goods Receipt / Goods Movement</w:t>
        <w:br/>
        <w:t xml:space="preserve">        ↓</w:t>
        <w:br/>
        <w:t>Supplier Invoice</w:t>
        <w:br/>
        <w:t xml:space="preserve">        ↓</w:t>
        <w:br/>
        <w:t>G/L Line Item (Universal Journal)  →  Payment / Clearing</w:t>
      </w:r>
    </w:p>
    <w:p>
      <w:r>
        <w:t>Master data (Supplier, Product, Plant, Purchasing Org, Cost Center, G/L Account, etc.) attach to the transactional documents via foreign-key style attributes.</w:t>
      </w:r>
    </w:p>
    <w:p>
      <w:pPr>
        <w:pStyle w:val="Heading1"/>
      </w:pPr>
      <w:r>
        <w:t>3. Entity relationship diagram (logical)</w:t>
      </w:r>
    </w:p>
    <w:p>
      <w:r>
        <w:t>Logical relationships (not a physical SAP DDIC diagram). Cardinality is approximate for modeling.</w:t>
      </w:r>
    </w:p>
    <w:p>
      <w:pPr>
        <w:pStyle w:val="Heading2"/>
      </w:pPr>
      <w:r>
        <w:t>3.1 Transactional relationships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  <w:sz w:val="20"/>
              </w:rPr>
              <w:t>From entity</w:t>
            </w:r>
          </w:p>
        </w:tc>
        <w:tc>
          <w:tcPr>
            <w:tcW w:type="dxa" w:w="3168"/>
            <w:shd w:fill="1F4E79" w:val="clear"/>
          </w:tcPr>
          <w:p>
            <w:r>
              <w:rPr>
                <w:b/>
                <w:color w:val="FFFFFF"/>
                <w:sz w:val="20"/>
              </w:rPr>
              <w:t>To entity</w:t>
            </w:r>
          </w:p>
        </w:tc>
        <w:tc>
          <w:tcPr>
            <w:tcW w:type="dxa" w:w="1152"/>
            <w:shd w:fill="1F4E79" w:val="clear"/>
          </w:tcPr>
          <w:p>
            <w:r>
              <w:rPr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Typical join keys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C_PurchaseRequisitionItemDEX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PurchaseRequisition + PurchaseRequisitionItem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C_PurchaseContractDEX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C_PurchaseContractItemDEX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PurchaseContract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C_PurchaseContractItemDEX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PurchaseContract + 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C_ScheduleAgreementHdrDEX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C_ScheduleAgreementItemDEX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SchedulingAgreement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C_ScheduleAgreementItemDEX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SchedulingAgreement + 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PurchaseOrder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C_PurOrdScheduleLineDEX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PurchaseOrder + PurchaseOrderItem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C_PurOrdAccountAssignmentDEX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PurchaseOrder + PurchaseOrderItem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C_POSupplierConfirmationDEX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PurchaseOrder + PurchaseOrderItem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I_DeliveryDocumentItem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Reference to PO (ReferenceSDDocument / Item)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I_DeliveryDocument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I_DeliveryDocumentItem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DeliveryDocument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I_GoodsMovementDocumentDEX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PurchaseOrder + PurchaseOrderItem (GR)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I_DeliveryDocumentItem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I_GoodsMovementDocumentDEX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Delivery + Item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C_SupplierInvoiceItemDEX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PurchaseOrder + PurchaseOrderItem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I_GoodsMovementDocumentDEX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C_SupplierInvoiceItemDEX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MaterialDocument (GR-based IV)</w:t>
            </w:r>
          </w:p>
        </w:tc>
      </w:tr>
      <w:tr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C_SupplierInvoiceItemDEX</w:t>
            </w:r>
          </w:p>
        </w:tc>
        <w:tc>
          <w:tcPr>
            <w:tcW w:type="dxa" w:w="3168"/>
            <w:shd w:fill="F2F2F2" w:val="clear"/>
          </w:tcPr>
          <w:p>
            <w:r>
              <w:rPr>
                <w:sz w:val="18"/>
              </w:rPr>
              <w:t>I_GLAccountLineItemRawData</w:t>
            </w:r>
          </w:p>
        </w:tc>
        <w:tc>
          <w:tcPr>
            <w:tcW w:type="dxa" w:w="1152"/>
            <w:shd w:fill="F2F2F2" w:val="clear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  <w:shd w:fill="F2F2F2" w:val="clear"/>
          </w:tcPr>
          <w:p>
            <w:r>
              <w:rPr>
                <w:sz w:val="18"/>
              </w:rPr>
              <w:t>CompanyCode + AccountingDocument + FiscalYear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C_PurchaseOrderItemDEX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I_GLAccountLineItemRawData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1:N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PurchasingDocument + Item (when posted)</w:t>
            </w:r>
          </w:p>
        </w:tc>
      </w:tr>
    </w:tbl>
    <w:p/>
    <w:p>
      <w:pPr>
        <w:pStyle w:val="Heading2"/>
      </w:pPr>
      <w:r>
        <w:t>3.2 Master data relationships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20"/>
              </w:rPr>
              <w:t>Master entity</w:t>
            </w:r>
          </w:p>
        </w:tc>
        <w:tc>
          <w:tcPr>
            <w:tcW w:type="dxa" w:w="3744"/>
            <w:shd w:fill="1F4E79" w:val="clear"/>
          </w:tcPr>
          <w:p>
            <w:r>
              <w:rPr>
                <w:b/>
                <w:color w:val="FFFFFF"/>
                <w:sz w:val="20"/>
              </w:rPr>
              <w:t>Used by (examples)</w:t>
            </w:r>
          </w:p>
        </w:tc>
        <w:tc>
          <w:tcPr>
            <w:tcW w:type="dxa" w:w="3456"/>
            <w:shd w:fill="1F4E79" w:val="clear"/>
          </w:tcPr>
          <w:p>
            <w:r>
              <w:rPr>
                <w:b/>
                <w:color w:val="FFFFFF"/>
                <w:sz w:val="20"/>
              </w:rPr>
              <w:t>Join attribute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I_Supplier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header, Supplier Invoice, GL line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Supplier / InvoicingParty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I_Product + I_ProductDescription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PR item, PO item, Contract item, GR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Material / Product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I_Plant + I_StorageLocation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item, GR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Plant (+ StorageLocation)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C_PurchasingOrganizationDEX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PO header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PurchasingOrganization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I_PurchasingGroup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header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PurchasingGroup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I_CompanyCode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PO, Invoice, GL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CompanyCode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I_CostCenter / I_ProfitCenter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account assignment, GL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CostCenter / ProfitCenter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I_ControllingArea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Cost Center, Profit Center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ControllingArea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I_GLAccount (+ texts / CoA)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account assignment, GL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GLAccount / ChartOfAccounts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I_PaymentTermsText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PO header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PaymentTerms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I_UnitOfMeasure (+ text)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 item quantities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OrderQuantityUnit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I_Currency (+ text)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PO / Invoice amounts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DocumentCurrency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I_Country (+ text)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Supplier / Address context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Country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I_Address_2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Supplier address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Address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I_GoodsMovementType (+ text)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Goods movement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GoodsMovementType</w:t>
            </w:r>
          </w:p>
        </w:tc>
      </w:tr>
      <w:tr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Doc type / status texts</w:t>
            </w:r>
          </w:p>
        </w:tc>
        <w:tc>
          <w:tcPr>
            <w:tcW w:type="dxa" w:w="3744"/>
            <w:shd w:fill="F2F2F2" w:val="clear"/>
          </w:tcPr>
          <w:p>
            <w:r>
              <w:rPr>
                <w:sz w:val="18"/>
              </w:rPr>
              <w:t>PO / Invoice / Accounting docs</w:t>
            </w:r>
          </w:p>
        </w:tc>
        <w:tc>
          <w:tcPr>
            <w:tcW w:type="dxa" w:w="3456"/>
            <w:shd w:fill="F2F2F2" w:val="clear"/>
          </w:tcPr>
          <w:p>
            <w:r>
              <w:rPr>
                <w:sz w:val="18"/>
              </w:rPr>
              <w:t>Type / Status codes</w:t>
            </w:r>
          </w:p>
        </w:tc>
      </w:tr>
    </w:tbl>
    <w:p>
      <w:pPr>
        <w:pStyle w:val="Heading1"/>
      </w:pPr>
      <w:r>
        <w:t>4. Process map with entity names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fill="1F4E79" w:val="clear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592"/>
            <w:shd w:fill="1F4E79" w:val="clear"/>
          </w:tcPr>
          <w:p>
            <w:r>
              <w:rPr>
                <w:b/>
                <w:color w:val="FFFFFF"/>
                <w:sz w:val="20"/>
              </w:rPr>
              <w:t>Business meaning</w:t>
            </w:r>
          </w:p>
        </w:tc>
        <w:tc>
          <w:tcPr>
            <w:tcW w:type="dxa" w:w="7200"/>
            <w:shd w:fill="1F4E79" w:val="clear"/>
          </w:tcPr>
          <w:p>
            <w:r>
              <w:rPr>
                <w:b/>
                <w:color w:val="FFFFFF"/>
                <w:sz w:val="20"/>
              </w:rPr>
              <w:t>Primary DEX / extract entities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Requisition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C_PurchaseRequisitionItemDEX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  <w:shd w:fill="F2F2F2" w:val="clear"/>
          </w:tcPr>
          <w:p>
            <w:r>
              <w:rPr>
                <w:sz w:val="18"/>
              </w:rPr>
              <w:t>Outline agreements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sz w:val="18"/>
              </w:rPr>
              <w:t>C_PurchaseContractDEX, C_PurchaseContractItemDEX, C_ScheduleAgreementHdrDEX, C_ScheduleAgreementItemDEX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Purchase order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C_PurchaseOrderDEX, C_PurchaseOrderItemDEX, C_PurOrdScheduleLineDEX, C_PurOrdAccountAssignmentDEX, C_POSupplierConfirmationDEX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  <w:shd w:fill="F2F2F2" w:val="clear"/>
          </w:tcPr>
          <w:p>
            <w:r>
              <w:rPr>
                <w:sz w:val="18"/>
              </w:rPr>
              <w:t>Inbound delivery (optional)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sz w:val="18"/>
              </w:rPr>
              <w:t>I_DeliveryDocument, I_DeliveryDocumentItem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Goods receipt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I_GoodsMovementDocumentDEX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  <w:shd w:fill="F2F2F2" w:val="clear"/>
          </w:tcPr>
          <w:p>
            <w:r>
              <w:rPr>
                <w:sz w:val="18"/>
              </w:rPr>
              <w:t>Supplier invoice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sz w:val="18"/>
              </w:rPr>
              <w:t>C_SupplierInvoiceItemDEX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Payment / clearing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I_GLAccountLineItemRawData (Universal Journal / ACDOCA)</w:t>
            </w:r>
          </w:p>
        </w:tc>
      </w:tr>
      <w:tr>
        <w:tc>
          <w:tcPr>
            <w:tcW w:type="dxa" w:w="864"/>
            <w:shd w:fill="F2F2F2" w:val="clear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2592"/>
            <w:shd w:fill="F2F2F2" w:val="clear"/>
          </w:tcPr>
          <w:p>
            <w:r>
              <w:rPr>
                <w:sz w:val="18"/>
              </w:rPr>
              <w:t>Master &amp; config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sz w:val="18"/>
              </w:rPr>
              <w:t>I_Supplier, I_Product*, I_Plant, I_StorageLocation, C_PurchasingOrganizationDEX, I_PurchasingGroup, I_CompanyCode, I_CostCenter*, I_ProfitCenter*, I_GLAccount*, I_ChartOfAccounts*, I_PaymentTermsText, I_UnitOfMeasure*, I_Currency*, I_Country*, I_Address_2, movement/type/status texts</w:t>
            </w:r>
          </w:p>
        </w:tc>
      </w:tr>
    </w:tbl>
    <w:p>
      <w:pPr>
        <w:pStyle w:val="Heading1"/>
      </w:pPr>
      <w:r>
        <w:t>5. Ready-to-paste select-options (S_NAME)</w:t>
      </w:r>
    </w:p>
    <w:p>
      <w:r>
        <w:t>Paste into Z_CDS_EXPLORER_2_FILE → DEX entity (S_NAME) as Single values, one per line. Source type = DEX. Names are case-sensitive.</w:t>
      </w:r>
    </w:p>
    <w:p>
      <w:r>
        <w:rPr>
          <w:rFonts w:ascii="Consolas" w:hAnsi="Consolas"/>
          <w:sz w:val="18"/>
        </w:rPr>
        <w:t>C_PurchaseRequisitionItemDEX</w:t>
        <w:br/>
        <w:t>C_PurchaseContractDEX</w:t>
        <w:br/>
        <w:t>C_PurchaseContractItemDEX</w:t>
        <w:br/>
        <w:t>C_ScheduleAgreementHdrDEX</w:t>
        <w:br/>
        <w:t>C_ScheduleAgreementItemDEX</w:t>
        <w:br/>
        <w:t>C_PurchaseOrderDEX</w:t>
        <w:br/>
        <w:t>C_PurchaseOrderItemDEX</w:t>
        <w:br/>
        <w:t>C_PurOrdScheduleLineDEX</w:t>
        <w:br/>
        <w:t>C_PurOrdAccountAssignmentDEX</w:t>
        <w:br/>
        <w:t>C_POSupplierConfirmationDEX</w:t>
        <w:br/>
        <w:t>I_GoodsMovementDocumentDEX</w:t>
        <w:br/>
        <w:t>I_DeliveryDocument</w:t>
        <w:br/>
        <w:t>I_DeliveryDocumentItem</w:t>
        <w:br/>
        <w:t>C_SupplierInvoiceItemDEX</w:t>
        <w:br/>
        <w:t>I_GLAccountLineItemRawData</w:t>
        <w:br/>
        <w:t>C_PurchasingOrganizationDEX</w:t>
        <w:br/>
        <w:t>I_Supplier</w:t>
        <w:br/>
        <w:t>I_Product</w:t>
        <w:br/>
        <w:t>I_ProductDescription</w:t>
        <w:br/>
        <w:t>I_ProductGroupText_2</w:t>
        <w:br/>
        <w:t>I_Plant</w:t>
        <w:br/>
        <w:t>I_StorageLocation</w:t>
        <w:br/>
        <w:t>I_PurchasingGroup</w:t>
        <w:br/>
        <w:t>I_CompanyCode</w:t>
        <w:br/>
        <w:t>I_CostCenter</w:t>
        <w:br/>
        <w:t>I_CostCenterText</w:t>
        <w:br/>
        <w:t>I_ProfitCenter</w:t>
        <w:br/>
        <w:t>I_ProfitCenterText</w:t>
        <w:br/>
        <w:t>I_ControllingArea</w:t>
        <w:br/>
        <w:t>I_GLAccount</w:t>
        <w:br/>
        <w:t>I_GLAccountTextRawData</w:t>
        <w:br/>
        <w:t>I_ChartOfAccounts</w:t>
        <w:br/>
        <w:t>I_ChartOfAccountsText</w:t>
        <w:br/>
        <w:t>I_PaymentTermsText</w:t>
        <w:br/>
        <w:t>I_UnitOfMeasure</w:t>
        <w:br/>
        <w:t>I_UnitOfMeasureText</w:t>
        <w:br/>
        <w:t>I_Currency</w:t>
        <w:br/>
        <w:t>I_CurrencyText</w:t>
        <w:br/>
        <w:t>I_Country</w:t>
        <w:br/>
        <w:t>I_CountryText</w:t>
        <w:br/>
        <w:t>I_Address_2</w:t>
        <w:br/>
        <w:t>I_GoodsMovementType</w:t>
        <w:br/>
        <w:t>I_GoodsMovementTypeT</w:t>
        <w:br/>
        <w:t>I_PurchasingDocumentTypeText</w:t>
        <w:br/>
        <w:t>I_PurgDocumentCategoryText</w:t>
        <w:br/>
        <w:t>I_PurgProcessingStatusText</w:t>
        <w:br/>
        <w:t>I_SupplierInvcStatusTxtAPI01</w:t>
        <w:br/>
        <w:t>I_AccountingDocumentType</w:t>
      </w:r>
    </w:p>
    <w:p>
      <w:pPr>
        <w:pStyle w:val="Heading1"/>
      </w:pPr>
      <w:r>
        <w:t>6. Notes</w:t>
      </w:r>
    </w:p>
    <w:p>
      <w:pPr>
        <w:pStyle w:val="ListBullet"/>
      </w:pPr>
      <w:r>
        <w:t>Payment is typically derived from I_GLAccountLineItemRawData (clearing / payment document fields), not a dedicated C_*Payment*DEX.</w:t>
      </w:r>
    </w:p>
    <w:p>
      <w:pPr>
        <w:pStyle w:val="ListBullet"/>
      </w:pPr>
      <w:r>
        <w:t>Some entities (e.g. inbound delivery) may be extraction-enabled without a *DEX suffix; always verify in your system.</w:t>
      </w:r>
    </w:p>
    <w:p>
      <w:pPr>
        <w:pStyle w:val="ListBullet"/>
      </w:pPr>
      <w:r>
        <w:t>After Display in Z_CDS_EXPLORER_2_FILE, remove any entities missing on your release, then run extract.</w:t>
      </w:r>
    </w:p>
    <w:p>
      <w:pPr>
        <w:pStyle w:val="ListBullet"/>
      </w:pPr>
      <w:r>
        <w:t>Prefer DEX entities with a change timestamp (Has change TS) for delta extracts.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