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FF0" w:rsidRPr="00B07447" w:rsidRDefault="002F3FF0" w:rsidP="002F3FF0">
      <w:pPr>
        <w:jc w:val="center"/>
        <w:rPr>
          <w:b/>
          <w:i/>
          <w:sz w:val="28"/>
          <w:szCs w:val="28"/>
        </w:rPr>
      </w:pPr>
      <w:r w:rsidRPr="00B07447">
        <w:rPr>
          <w:b/>
          <w:i/>
          <w:sz w:val="28"/>
          <w:szCs w:val="28"/>
        </w:rPr>
        <w:t>Observations</w:t>
      </w:r>
      <w:r w:rsidR="00171C02">
        <w:rPr>
          <w:b/>
          <w:i/>
          <w:sz w:val="28"/>
          <w:szCs w:val="28"/>
        </w:rPr>
        <w:t xml:space="preserve"> &amp; Insights reg. Kickstarter projects</w:t>
      </w:r>
    </w:p>
    <w:p w:rsidR="002F3FF0" w:rsidRDefault="002F3FF0" w:rsidP="002F3FF0">
      <w:pPr>
        <w:pStyle w:val="ListParagraph"/>
        <w:numPr>
          <w:ilvl w:val="0"/>
          <w:numId w:val="1"/>
        </w:numPr>
      </w:pPr>
      <w:r w:rsidRPr="00B07447">
        <w:rPr>
          <w:sz w:val="28"/>
        </w:rPr>
        <w:t xml:space="preserve">Analysis of </w:t>
      </w:r>
      <w:r w:rsidR="00B07447">
        <w:rPr>
          <w:sz w:val="28"/>
        </w:rPr>
        <w:t xml:space="preserve">data for </w:t>
      </w:r>
      <w:r w:rsidRPr="00B07447">
        <w:rPr>
          <w:sz w:val="28"/>
        </w:rPr>
        <w:t>project outcome by category</w:t>
      </w:r>
    </w:p>
    <w:p w:rsidR="002F3FF0" w:rsidRPr="00B07447" w:rsidRDefault="002F3FF0" w:rsidP="002F3FF0">
      <w:pPr>
        <w:pStyle w:val="ListParagraph"/>
        <w:numPr>
          <w:ilvl w:val="1"/>
          <w:numId w:val="1"/>
        </w:numPr>
        <w:ind w:left="648"/>
        <w:rPr>
          <w:sz w:val="24"/>
        </w:rPr>
      </w:pPr>
      <w:r w:rsidRPr="00B07447">
        <w:rPr>
          <w:sz w:val="24"/>
        </w:rPr>
        <w:t>Based on the count of project outcome type for each category: theater, music and film/video projects appear to enjoy the most success</w:t>
      </w:r>
      <w:r w:rsidR="00B07447" w:rsidRPr="00B07447">
        <w:rPr>
          <w:sz w:val="24"/>
        </w:rPr>
        <w:t>.</w:t>
      </w:r>
    </w:p>
    <w:p w:rsidR="002F3FF0" w:rsidRPr="00B07447" w:rsidRDefault="002F3FF0" w:rsidP="002F3FF0">
      <w:pPr>
        <w:pStyle w:val="ListParagraph"/>
        <w:numPr>
          <w:ilvl w:val="1"/>
          <w:numId w:val="1"/>
        </w:numPr>
        <w:ind w:left="648"/>
        <w:rPr>
          <w:sz w:val="24"/>
        </w:rPr>
      </w:pPr>
      <w:r w:rsidRPr="00B07447">
        <w:rPr>
          <w:sz w:val="24"/>
        </w:rPr>
        <w:t xml:space="preserve">Based on total project count, theater is by far the most crowded space; competition for </w:t>
      </w:r>
      <w:r w:rsidR="002141F2">
        <w:rPr>
          <w:sz w:val="24"/>
        </w:rPr>
        <w:t xml:space="preserve">Kickstarter </w:t>
      </w:r>
      <w:r w:rsidRPr="00B07447">
        <w:rPr>
          <w:sz w:val="24"/>
        </w:rPr>
        <w:t>funding is high for this category</w:t>
      </w:r>
      <w:r w:rsidR="00B07447" w:rsidRPr="00B07447">
        <w:rPr>
          <w:sz w:val="24"/>
        </w:rPr>
        <w:t>.</w:t>
      </w:r>
    </w:p>
    <w:p w:rsidR="002F3FF0" w:rsidRPr="00B07447" w:rsidRDefault="002F3FF0" w:rsidP="002F3FF0">
      <w:pPr>
        <w:pStyle w:val="ListParagraph"/>
        <w:numPr>
          <w:ilvl w:val="1"/>
          <w:numId w:val="1"/>
        </w:numPr>
        <w:ind w:left="648"/>
        <w:rPr>
          <w:sz w:val="24"/>
        </w:rPr>
      </w:pPr>
      <w:r w:rsidRPr="00B07447">
        <w:rPr>
          <w:sz w:val="24"/>
        </w:rPr>
        <w:t>By the same measure, journalism is the least crowded category; it is also very risky since all projects have been canceled for this category</w:t>
      </w:r>
      <w:r w:rsidR="00B07447" w:rsidRPr="00B07447">
        <w:rPr>
          <w:sz w:val="24"/>
        </w:rPr>
        <w:t>.</w:t>
      </w:r>
    </w:p>
    <w:p w:rsidR="002F3FF0" w:rsidRPr="00B07447" w:rsidRDefault="002F3FF0" w:rsidP="002F3FF0">
      <w:pPr>
        <w:pStyle w:val="ListParagraph"/>
        <w:numPr>
          <w:ilvl w:val="1"/>
          <w:numId w:val="1"/>
        </w:numPr>
        <w:ind w:left="648"/>
        <w:rPr>
          <w:sz w:val="24"/>
        </w:rPr>
      </w:pPr>
      <w:r w:rsidRPr="00B07447">
        <w:rPr>
          <w:sz w:val="24"/>
        </w:rPr>
        <w:t>A more suitable way to compare the success rate of various categories is to look at actual percentage of project outcomes; see chart 1 below</w:t>
      </w:r>
      <w:r w:rsidR="00B07447" w:rsidRPr="00B07447">
        <w:rPr>
          <w:sz w:val="24"/>
        </w:rPr>
        <w:t>.</w:t>
      </w:r>
    </w:p>
    <w:p w:rsidR="004268DB" w:rsidRDefault="00B07447" w:rsidP="004268DB">
      <w:pPr>
        <w:pStyle w:val="ListParagraph"/>
        <w:numPr>
          <w:ilvl w:val="2"/>
          <w:numId w:val="1"/>
        </w:numPr>
        <w:ind w:left="907" w:hanging="187"/>
        <w:rPr>
          <w:sz w:val="24"/>
        </w:rPr>
      </w:pPr>
      <w:r w:rsidRPr="00B07447">
        <w:rPr>
          <w:sz w:val="24"/>
        </w:rPr>
        <w:t>Looking at Chart 1, we can see that music, theater and film/video projects enjoy the three highest success rates, respectively.</w:t>
      </w:r>
    </w:p>
    <w:p w:rsidR="00B07447" w:rsidRPr="004268DB" w:rsidRDefault="00B07447" w:rsidP="004268DB">
      <w:pPr>
        <w:pStyle w:val="ListParagraph"/>
        <w:numPr>
          <w:ilvl w:val="2"/>
          <w:numId w:val="1"/>
        </w:numPr>
        <w:ind w:left="907" w:hanging="187"/>
        <w:rPr>
          <w:sz w:val="24"/>
        </w:rPr>
      </w:pPr>
      <w:r w:rsidRPr="004268DB">
        <w:rPr>
          <w:sz w:val="24"/>
        </w:rPr>
        <w:t>The percentage of project outcomes varies consi</w:t>
      </w:r>
      <w:r w:rsidR="004268DB">
        <w:rPr>
          <w:sz w:val="24"/>
        </w:rPr>
        <w:t xml:space="preserve">derably by country; for example, </w:t>
      </w:r>
      <w:r w:rsidRPr="004268DB">
        <w:rPr>
          <w:sz w:val="24"/>
        </w:rPr>
        <w:t>Chart 1 looks very different for France, when data are filtered for this country</w:t>
      </w:r>
      <w:r w:rsidR="004268DB">
        <w:rPr>
          <w:sz w:val="24"/>
        </w:rPr>
        <w:t>. T</w:t>
      </w:r>
      <w:r w:rsidRPr="004268DB">
        <w:rPr>
          <w:sz w:val="24"/>
        </w:rPr>
        <w:t>he US results, however, are more in line with global patterns.</w:t>
      </w:r>
    </w:p>
    <w:p w:rsidR="00B07447" w:rsidRPr="00B07447" w:rsidRDefault="00B07447" w:rsidP="00B07447">
      <w:pPr>
        <w:pStyle w:val="ListParagraph"/>
        <w:numPr>
          <w:ilvl w:val="2"/>
          <w:numId w:val="1"/>
        </w:numPr>
        <w:ind w:left="907" w:hanging="187"/>
        <w:rPr>
          <w:sz w:val="24"/>
        </w:rPr>
      </w:pPr>
      <w:r w:rsidRPr="00B07447">
        <w:rPr>
          <w:sz w:val="24"/>
        </w:rPr>
        <w:t>It makes sense to look at individual countries and regions for more relevant insights for decision making</w:t>
      </w:r>
      <w:r>
        <w:rPr>
          <w:sz w:val="24"/>
        </w:rPr>
        <w:t>.</w:t>
      </w:r>
    </w:p>
    <w:p w:rsidR="002F3FF0" w:rsidRDefault="002F3FF0" w:rsidP="00B07447"/>
    <w:p w:rsidR="002F3FF0" w:rsidRDefault="002F3FF0" w:rsidP="002F3FF0">
      <w:r>
        <w:rPr>
          <w:noProof/>
        </w:rPr>
        <w:drawing>
          <wp:inline distT="0" distB="0" distL="0" distR="0" wp14:anchorId="70D21C4A" wp14:editId="298A500D">
            <wp:extent cx="5943600" cy="3529330"/>
            <wp:effectExtent l="0" t="0" r="0" b="139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9540AD5-0C57-454D-8E80-7E5A73A06D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br w:type="page"/>
      </w:r>
    </w:p>
    <w:p w:rsidR="00B07447" w:rsidRDefault="00B07447" w:rsidP="00B07447">
      <w:pPr>
        <w:pStyle w:val="ListParagraph"/>
        <w:numPr>
          <w:ilvl w:val="0"/>
          <w:numId w:val="1"/>
        </w:numPr>
      </w:pPr>
      <w:r w:rsidRPr="00B07447">
        <w:rPr>
          <w:sz w:val="28"/>
        </w:rPr>
        <w:lastRenderedPageBreak/>
        <w:t xml:space="preserve">Analysis of </w:t>
      </w:r>
      <w:r>
        <w:rPr>
          <w:sz w:val="28"/>
        </w:rPr>
        <w:t xml:space="preserve">data for </w:t>
      </w:r>
      <w:r w:rsidRPr="00B07447">
        <w:rPr>
          <w:sz w:val="28"/>
        </w:rPr>
        <w:t xml:space="preserve">project outcome by </w:t>
      </w:r>
      <w:r>
        <w:rPr>
          <w:sz w:val="28"/>
        </w:rPr>
        <w:t>sub-</w:t>
      </w:r>
      <w:r w:rsidRPr="00B07447">
        <w:rPr>
          <w:sz w:val="28"/>
        </w:rPr>
        <w:t>category</w:t>
      </w:r>
    </w:p>
    <w:p w:rsidR="004268DB" w:rsidRPr="004268DB" w:rsidRDefault="004268DB" w:rsidP="004268DB">
      <w:pPr>
        <w:pStyle w:val="ListParagraph"/>
        <w:numPr>
          <w:ilvl w:val="1"/>
          <w:numId w:val="1"/>
        </w:numPr>
        <w:ind w:left="648"/>
        <w:rPr>
          <w:sz w:val="24"/>
        </w:rPr>
      </w:pPr>
      <w:r w:rsidRPr="004268DB">
        <w:rPr>
          <w:sz w:val="24"/>
        </w:rPr>
        <w:t>Based on the count of projec</w:t>
      </w:r>
      <w:r>
        <w:rPr>
          <w:sz w:val="24"/>
        </w:rPr>
        <w:t>t outcome for various sub-catego</w:t>
      </w:r>
      <w:r w:rsidRPr="004268DB">
        <w:rPr>
          <w:sz w:val="24"/>
        </w:rPr>
        <w:t>ries, the number of plays-related projects by far exceeds other sub-categories:</w:t>
      </w:r>
    </w:p>
    <w:p w:rsidR="00B07447" w:rsidRPr="004268DB" w:rsidRDefault="004268DB" w:rsidP="004268DB">
      <w:pPr>
        <w:pStyle w:val="ListParagraph"/>
        <w:numPr>
          <w:ilvl w:val="2"/>
          <w:numId w:val="1"/>
        </w:numPr>
        <w:ind w:left="907" w:hanging="187"/>
        <w:rPr>
          <w:sz w:val="24"/>
        </w:rPr>
      </w:pPr>
      <w:r w:rsidRPr="004268DB">
        <w:rPr>
          <w:sz w:val="24"/>
        </w:rPr>
        <w:t>There are over 4 times the number of plays-related projects a</w:t>
      </w:r>
      <w:r>
        <w:rPr>
          <w:sz w:val="24"/>
        </w:rPr>
        <w:t>s compared to the next sub-cate</w:t>
      </w:r>
      <w:r w:rsidRPr="004268DB">
        <w:rPr>
          <w:sz w:val="24"/>
        </w:rPr>
        <w:t>g</w:t>
      </w:r>
      <w:r>
        <w:rPr>
          <w:sz w:val="24"/>
        </w:rPr>
        <w:t>o</w:t>
      </w:r>
      <w:r w:rsidRPr="004268DB">
        <w:rPr>
          <w:sz w:val="24"/>
        </w:rPr>
        <w:t>ry (rock-related projects)</w:t>
      </w:r>
      <w:r>
        <w:rPr>
          <w:sz w:val="24"/>
        </w:rPr>
        <w:t xml:space="preserve">. </w:t>
      </w:r>
      <w:r w:rsidRPr="004268DB">
        <w:rPr>
          <w:sz w:val="24"/>
        </w:rPr>
        <w:t>Hence, plays-related projects represent high level of competition for funding</w:t>
      </w:r>
      <w:r>
        <w:rPr>
          <w:sz w:val="24"/>
        </w:rPr>
        <w:t>.</w:t>
      </w:r>
    </w:p>
    <w:p w:rsidR="00B07447" w:rsidRPr="004268DB" w:rsidRDefault="004268DB" w:rsidP="004268DB">
      <w:pPr>
        <w:pStyle w:val="ListParagraph"/>
        <w:numPr>
          <w:ilvl w:val="1"/>
          <w:numId w:val="1"/>
        </w:numPr>
        <w:ind w:left="648"/>
        <w:rPr>
          <w:sz w:val="24"/>
        </w:rPr>
      </w:pPr>
      <w:r>
        <w:rPr>
          <w:sz w:val="24"/>
        </w:rPr>
        <w:t>By the same measure, plays, rock and docum</w:t>
      </w:r>
      <w:r w:rsidRPr="004268DB">
        <w:rPr>
          <w:sz w:val="24"/>
        </w:rPr>
        <w:t>entary seem to enjoy the highest success rates</w:t>
      </w:r>
      <w:r w:rsidR="00B07447" w:rsidRPr="004268DB">
        <w:rPr>
          <w:sz w:val="24"/>
        </w:rPr>
        <w:t>.</w:t>
      </w:r>
    </w:p>
    <w:p w:rsidR="00B07447" w:rsidRPr="004268DB" w:rsidRDefault="004268DB" w:rsidP="004268DB">
      <w:pPr>
        <w:pStyle w:val="ListParagraph"/>
        <w:numPr>
          <w:ilvl w:val="1"/>
          <w:numId w:val="1"/>
        </w:numPr>
        <w:ind w:left="648"/>
        <w:rPr>
          <w:sz w:val="24"/>
        </w:rPr>
      </w:pPr>
      <w:r w:rsidRPr="004268DB">
        <w:rPr>
          <w:sz w:val="24"/>
        </w:rPr>
        <w:t>A more suitable way to compare the success rate of various sub-categories is to look at actual percentage of project ou</w:t>
      </w:r>
      <w:r>
        <w:rPr>
          <w:sz w:val="24"/>
        </w:rPr>
        <w:t>tcomes; see chart 2 below</w:t>
      </w:r>
      <w:r w:rsidR="00B07447" w:rsidRPr="004268DB">
        <w:rPr>
          <w:sz w:val="24"/>
        </w:rPr>
        <w:t>.</w:t>
      </w:r>
    </w:p>
    <w:p w:rsidR="00B07447" w:rsidRDefault="008E3DE3" w:rsidP="008E3DE3">
      <w:pPr>
        <w:pStyle w:val="ListParagraph"/>
        <w:numPr>
          <w:ilvl w:val="2"/>
          <w:numId w:val="1"/>
        </w:numPr>
        <w:ind w:left="907" w:hanging="187"/>
        <w:rPr>
          <w:sz w:val="24"/>
        </w:rPr>
      </w:pPr>
      <w:r>
        <w:rPr>
          <w:sz w:val="24"/>
        </w:rPr>
        <w:t>C</w:t>
      </w:r>
      <w:r w:rsidR="004268DB" w:rsidRPr="004268DB">
        <w:rPr>
          <w:sz w:val="24"/>
        </w:rPr>
        <w:t>lassical music, documentary, electronic music, hardware, metal, nonfiction, pop, radio &amp; podcast, rock, shorts, table</w:t>
      </w:r>
      <w:r w:rsidR="004268DB">
        <w:rPr>
          <w:sz w:val="24"/>
        </w:rPr>
        <w:t xml:space="preserve"> games and television sub-categ</w:t>
      </w:r>
      <w:r w:rsidR="004268DB" w:rsidRPr="004268DB">
        <w:rPr>
          <w:sz w:val="24"/>
        </w:rPr>
        <w:t>ories all enjoy 100% success rate</w:t>
      </w:r>
      <w:r>
        <w:rPr>
          <w:sz w:val="24"/>
        </w:rPr>
        <w:t>.</w:t>
      </w:r>
    </w:p>
    <w:p w:rsidR="008E3DE3" w:rsidRPr="004268DB" w:rsidRDefault="008E3DE3" w:rsidP="008E3DE3">
      <w:pPr>
        <w:pStyle w:val="ListParagraph"/>
        <w:numPr>
          <w:ilvl w:val="2"/>
          <w:numId w:val="1"/>
        </w:numPr>
        <w:ind w:left="907" w:hanging="187"/>
        <w:rPr>
          <w:sz w:val="24"/>
        </w:rPr>
      </w:pPr>
      <w:r>
        <w:rPr>
          <w:sz w:val="24"/>
        </w:rPr>
        <w:t xml:space="preserve">Art books, audio, science fiction </w:t>
      </w:r>
      <w:r w:rsidR="002141F2">
        <w:rPr>
          <w:sz w:val="24"/>
        </w:rPr>
        <w:t>and world music projects were all cancelled; all these represent risky sub-categories to fund via Kickstarter.</w:t>
      </w:r>
    </w:p>
    <w:p w:rsidR="00B07447" w:rsidRPr="008E3DE3" w:rsidRDefault="008E3DE3" w:rsidP="008E3DE3">
      <w:pPr>
        <w:pStyle w:val="ListParagraph"/>
        <w:numPr>
          <w:ilvl w:val="2"/>
          <w:numId w:val="1"/>
        </w:numPr>
        <w:ind w:left="907" w:hanging="187"/>
        <w:rPr>
          <w:sz w:val="24"/>
        </w:rPr>
      </w:pPr>
      <w:r>
        <w:rPr>
          <w:sz w:val="24"/>
        </w:rPr>
        <w:t>T</w:t>
      </w:r>
      <w:r w:rsidRPr="008E3DE3">
        <w:rPr>
          <w:sz w:val="24"/>
        </w:rPr>
        <w:t xml:space="preserve">he percentage of project outcomes </w:t>
      </w:r>
      <w:r>
        <w:rPr>
          <w:sz w:val="24"/>
        </w:rPr>
        <w:t xml:space="preserve">for various sub-categories also varies </w:t>
      </w:r>
      <w:r w:rsidRPr="008E3DE3">
        <w:rPr>
          <w:sz w:val="24"/>
        </w:rPr>
        <w:t>by country</w:t>
      </w:r>
      <w:r>
        <w:rPr>
          <w:sz w:val="24"/>
        </w:rPr>
        <w:t>.</w:t>
      </w:r>
    </w:p>
    <w:p w:rsidR="00B07447" w:rsidRDefault="00B07447" w:rsidP="00B07447">
      <w:pPr>
        <w:pStyle w:val="ListParagraph"/>
        <w:numPr>
          <w:ilvl w:val="2"/>
          <w:numId w:val="1"/>
        </w:numPr>
        <w:ind w:left="907" w:hanging="187"/>
        <w:rPr>
          <w:sz w:val="24"/>
        </w:rPr>
      </w:pPr>
      <w:r w:rsidRPr="00B07447">
        <w:rPr>
          <w:sz w:val="24"/>
        </w:rPr>
        <w:t>It makes sense to look at individual countries and regions for more relevant insights for decision making</w:t>
      </w:r>
      <w:r>
        <w:rPr>
          <w:sz w:val="24"/>
        </w:rPr>
        <w:t>.</w:t>
      </w:r>
    </w:p>
    <w:p w:rsidR="008E3DE3" w:rsidRPr="008E3DE3" w:rsidRDefault="008E3DE3" w:rsidP="008E3DE3">
      <w:pPr>
        <w:rPr>
          <w:sz w:val="24"/>
        </w:rPr>
      </w:pPr>
    </w:p>
    <w:p w:rsidR="00B07447" w:rsidRDefault="008E3DE3">
      <w:r>
        <w:rPr>
          <w:noProof/>
        </w:rPr>
        <w:drawing>
          <wp:inline distT="0" distB="0" distL="0" distR="0" wp14:anchorId="620E584B" wp14:editId="038552CD">
            <wp:extent cx="5943600" cy="3255645"/>
            <wp:effectExtent l="0" t="0" r="0" b="190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A0AB8DD5-AF5E-4B4B-9225-447B985182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B07447">
        <w:br w:type="page"/>
      </w:r>
    </w:p>
    <w:p w:rsidR="002F3FF0" w:rsidRDefault="002F3FF0" w:rsidP="00B07447"/>
    <w:p w:rsidR="002F3FF0" w:rsidRDefault="002F3FF0" w:rsidP="002F3FF0">
      <w:pPr>
        <w:pStyle w:val="ListParagraph"/>
        <w:numPr>
          <w:ilvl w:val="0"/>
          <w:numId w:val="1"/>
        </w:numPr>
        <w:rPr>
          <w:sz w:val="28"/>
        </w:rPr>
      </w:pPr>
      <w:r w:rsidRPr="008E3DE3">
        <w:rPr>
          <w:sz w:val="28"/>
        </w:rPr>
        <w:t>Analysis of project success rate by launch month</w:t>
      </w:r>
    </w:p>
    <w:p w:rsidR="002141F2" w:rsidRDefault="00BB7E1D" w:rsidP="002141F2">
      <w:pPr>
        <w:pStyle w:val="ListParagraph"/>
        <w:numPr>
          <w:ilvl w:val="1"/>
          <w:numId w:val="1"/>
        </w:numPr>
        <w:ind w:left="648"/>
        <w:rPr>
          <w:sz w:val="24"/>
        </w:rPr>
      </w:pPr>
      <w:r>
        <w:rPr>
          <w:sz w:val="24"/>
        </w:rPr>
        <w:t>There does not appear to be strong</w:t>
      </w:r>
      <w:r w:rsidR="002141F2" w:rsidRPr="00BB7E1D">
        <w:rPr>
          <w:sz w:val="24"/>
        </w:rPr>
        <w:t xml:space="preserve"> seasonality </w:t>
      </w:r>
      <w:r>
        <w:rPr>
          <w:sz w:val="24"/>
        </w:rPr>
        <w:t>associated with</w:t>
      </w:r>
      <w:r w:rsidR="002141F2" w:rsidRPr="00BB7E1D">
        <w:rPr>
          <w:sz w:val="24"/>
        </w:rPr>
        <w:t xml:space="preserve"> project </w:t>
      </w:r>
      <w:r w:rsidRPr="00BB7E1D">
        <w:rPr>
          <w:sz w:val="24"/>
        </w:rPr>
        <w:t>success rate</w:t>
      </w:r>
      <w:r w:rsidR="002141F2" w:rsidRPr="00BB7E1D">
        <w:rPr>
          <w:sz w:val="24"/>
        </w:rPr>
        <w:t xml:space="preserve">; i.e., the percentage of pledged amount to project goal does not change significantly </w:t>
      </w:r>
      <w:r w:rsidRPr="00BB7E1D">
        <w:rPr>
          <w:sz w:val="24"/>
        </w:rPr>
        <w:t>by month.</w:t>
      </w:r>
    </w:p>
    <w:p w:rsidR="00BB7E1D" w:rsidRDefault="00BB7E1D" w:rsidP="00BB7E1D">
      <w:pPr>
        <w:pStyle w:val="ListParagraph"/>
        <w:numPr>
          <w:ilvl w:val="2"/>
          <w:numId w:val="1"/>
        </w:numPr>
        <w:ind w:left="907" w:hanging="187"/>
        <w:rPr>
          <w:sz w:val="24"/>
        </w:rPr>
      </w:pPr>
      <w:r>
        <w:rPr>
          <w:sz w:val="24"/>
        </w:rPr>
        <w:t>However, all</w:t>
      </w:r>
      <w:r w:rsidRPr="00BB7E1D">
        <w:rPr>
          <w:sz w:val="24"/>
        </w:rPr>
        <w:t xml:space="preserve"> projects generate the lowest returns in December</w:t>
      </w:r>
      <w:r w:rsidRPr="00BB7E1D">
        <w:rPr>
          <w:sz w:val="24"/>
        </w:rPr>
        <w:t>, likely due to holiday shopping season</w:t>
      </w:r>
      <w:r>
        <w:rPr>
          <w:sz w:val="24"/>
        </w:rPr>
        <w:t>.</w:t>
      </w:r>
    </w:p>
    <w:p w:rsidR="00BB7E1D" w:rsidRPr="00BB7E1D" w:rsidRDefault="00BB7E1D" w:rsidP="00BB7E1D">
      <w:pPr>
        <w:pStyle w:val="ListParagraph"/>
        <w:numPr>
          <w:ilvl w:val="2"/>
          <w:numId w:val="1"/>
        </w:numPr>
        <w:ind w:left="907" w:hanging="187"/>
        <w:rPr>
          <w:sz w:val="24"/>
        </w:rPr>
      </w:pPr>
      <w:r>
        <w:rPr>
          <w:sz w:val="24"/>
        </w:rPr>
        <w:t xml:space="preserve">Hence, </w:t>
      </w:r>
      <w:r w:rsidRPr="00BB7E1D">
        <w:rPr>
          <w:sz w:val="24"/>
        </w:rPr>
        <w:t>December is not a good month to launch new projects</w:t>
      </w:r>
      <w:r>
        <w:rPr>
          <w:sz w:val="24"/>
        </w:rPr>
        <w:t>.</w:t>
      </w:r>
    </w:p>
    <w:p w:rsidR="00171C02" w:rsidRPr="00171C02" w:rsidRDefault="00171C02" w:rsidP="005A1451">
      <w:pPr>
        <w:pStyle w:val="ListParagraph"/>
        <w:numPr>
          <w:ilvl w:val="0"/>
          <w:numId w:val="1"/>
        </w:numPr>
        <w:rPr>
          <w:sz w:val="28"/>
        </w:rPr>
      </w:pPr>
      <w:r w:rsidRPr="00171C02">
        <w:rPr>
          <w:sz w:val="28"/>
        </w:rPr>
        <w:t>Analysis of project outcome by goal amount (bonus)</w:t>
      </w:r>
    </w:p>
    <w:p w:rsidR="00171C02" w:rsidRPr="00171C02" w:rsidRDefault="00171C02" w:rsidP="00171C02">
      <w:pPr>
        <w:pStyle w:val="ListParagraph"/>
        <w:numPr>
          <w:ilvl w:val="1"/>
          <w:numId w:val="1"/>
        </w:numPr>
        <w:ind w:left="648"/>
        <w:rPr>
          <w:sz w:val="24"/>
        </w:rPr>
      </w:pPr>
      <w:r w:rsidRPr="00171C02">
        <w:rPr>
          <w:sz w:val="24"/>
        </w:rPr>
        <w:t xml:space="preserve">There appears to be </w:t>
      </w:r>
      <w:r>
        <w:rPr>
          <w:sz w:val="24"/>
        </w:rPr>
        <w:t>a correlation between the goal amount and outcome: projects with lower goals enjoy higher success rate</w:t>
      </w:r>
      <w:r w:rsidR="001B320C">
        <w:rPr>
          <w:sz w:val="24"/>
        </w:rPr>
        <w:t xml:space="preserve">. </w:t>
      </w:r>
    </w:p>
    <w:p w:rsidR="00BB7E1D" w:rsidRPr="00BB7E1D" w:rsidRDefault="00AE4CC3" w:rsidP="005A1451">
      <w:pPr>
        <w:pStyle w:val="ListParagraph"/>
        <w:numPr>
          <w:ilvl w:val="0"/>
          <w:numId w:val="1"/>
        </w:numPr>
        <w:rPr>
          <w:sz w:val="24"/>
        </w:rPr>
      </w:pPr>
      <w:r w:rsidRPr="00AE4CC3">
        <w:rPr>
          <w:sz w:val="28"/>
        </w:rPr>
        <w:t>Limitations of Dataset</w:t>
      </w:r>
    </w:p>
    <w:p w:rsidR="00BB7E1D" w:rsidRDefault="00AE4CC3" w:rsidP="002141F2">
      <w:pPr>
        <w:pStyle w:val="ListParagraph"/>
        <w:numPr>
          <w:ilvl w:val="1"/>
          <w:numId w:val="1"/>
        </w:numPr>
        <w:ind w:left="648"/>
        <w:rPr>
          <w:sz w:val="24"/>
        </w:rPr>
      </w:pPr>
      <w:r>
        <w:rPr>
          <w:sz w:val="24"/>
        </w:rPr>
        <w:t>This analysis is based on a subset of Kickstart project data. We looked at roughly 14%</w:t>
      </w:r>
      <w:r>
        <w:rPr>
          <w:sz w:val="24"/>
        </w:rPr>
        <w:t xml:space="preserve"> (4,115/300,000)</w:t>
      </w:r>
      <w:r>
        <w:rPr>
          <w:sz w:val="24"/>
        </w:rPr>
        <w:t xml:space="preserve"> of </w:t>
      </w:r>
      <w:r w:rsidR="00171C02">
        <w:rPr>
          <w:sz w:val="24"/>
        </w:rPr>
        <w:t>all Kickstarter projects</w:t>
      </w:r>
      <w:r>
        <w:rPr>
          <w:sz w:val="24"/>
        </w:rPr>
        <w:t>.</w:t>
      </w:r>
    </w:p>
    <w:p w:rsidR="00AE4CC3" w:rsidRDefault="00AE4CC3" w:rsidP="002141F2">
      <w:pPr>
        <w:pStyle w:val="ListParagraph"/>
        <w:numPr>
          <w:ilvl w:val="1"/>
          <w:numId w:val="1"/>
        </w:numPr>
        <w:ind w:left="648"/>
        <w:rPr>
          <w:sz w:val="24"/>
        </w:rPr>
      </w:pPr>
      <w:r>
        <w:rPr>
          <w:sz w:val="24"/>
        </w:rPr>
        <w:t>Demographics of Kickstarter donners is a major factor. People donating to Kickstarter projects are likely younger, more educated and with higher disposable incomes.</w:t>
      </w:r>
    </w:p>
    <w:p w:rsidR="00AE4CC3" w:rsidRPr="00BB7E1D" w:rsidRDefault="00AE4CC3" w:rsidP="002141F2">
      <w:pPr>
        <w:pStyle w:val="ListParagraph"/>
        <w:numPr>
          <w:ilvl w:val="1"/>
          <w:numId w:val="1"/>
        </w:numPr>
        <w:ind w:left="648"/>
        <w:rPr>
          <w:sz w:val="24"/>
        </w:rPr>
      </w:pPr>
      <w:r>
        <w:rPr>
          <w:sz w:val="24"/>
        </w:rPr>
        <w:t xml:space="preserve">As such, this analysis cannot be readily extrapolated to the </w:t>
      </w:r>
      <w:r w:rsidR="00171C02">
        <w:rPr>
          <w:sz w:val="24"/>
        </w:rPr>
        <w:t xml:space="preserve">broader Kickstarter projects, nor the </w:t>
      </w:r>
      <w:r>
        <w:rPr>
          <w:sz w:val="24"/>
        </w:rPr>
        <w:t>general population.</w:t>
      </w:r>
    </w:p>
    <w:p w:rsidR="002F3FF0" w:rsidRPr="00171C02" w:rsidRDefault="00171C02" w:rsidP="002F3FF0">
      <w:pPr>
        <w:pStyle w:val="ListParagraph"/>
        <w:numPr>
          <w:ilvl w:val="0"/>
          <w:numId w:val="1"/>
        </w:numPr>
        <w:rPr>
          <w:sz w:val="28"/>
        </w:rPr>
      </w:pPr>
      <w:r w:rsidRPr="00171C02">
        <w:rPr>
          <w:sz w:val="28"/>
        </w:rPr>
        <w:t>Other possible tables/graphs</w:t>
      </w:r>
      <w:r w:rsidR="00694412">
        <w:rPr>
          <w:sz w:val="28"/>
        </w:rPr>
        <w:t>/analysis</w:t>
      </w:r>
    </w:p>
    <w:p w:rsidR="00171C02" w:rsidRDefault="00171C02" w:rsidP="001B320C">
      <w:pPr>
        <w:pStyle w:val="ListParagraph"/>
        <w:numPr>
          <w:ilvl w:val="1"/>
          <w:numId w:val="1"/>
        </w:numPr>
        <w:ind w:left="648"/>
        <w:rPr>
          <w:sz w:val="24"/>
        </w:rPr>
      </w:pPr>
      <w:r w:rsidRPr="00171C02">
        <w:rPr>
          <w:sz w:val="24"/>
        </w:rPr>
        <w:t>Charts 1 and 2 are the two a</w:t>
      </w:r>
      <w:bookmarkStart w:id="0" w:name="_GoBack"/>
      <w:bookmarkEnd w:id="0"/>
      <w:r w:rsidRPr="00171C02">
        <w:rPr>
          <w:sz w:val="24"/>
        </w:rPr>
        <w:t>dditional graphs I used for my analysis above</w:t>
      </w:r>
      <w:r w:rsidR="001B320C">
        <w:rPr>
          <w:sz w:val="24"/>
        </w:rPr>
        <w:t xml:space="preserve">. </w:t>
      </w:r>
      <w:r w:rsidRPr="001B320C">
        <w:rPr>
          <w:sz w:val="24"/>
        </w:rPr>
        <w:t>Please refer to notes under 1d and 2c on previous pages.</w:t>
      </w:r>
    </w:p>
    <w:p w:rsidR="001B320C" w:rsidRDefault="001B320C" w:rsidP="001B320C">
      <w:pPr>
        <w:pStyle w:val="ListParagraph"/>
        <w:numPr>
          <w:ilvl w:val="1"/>
          <w:numId w:val="1"/>
        </w:numPr>
        <w:ind w:left="648"/>
        <w:rPr>
          <w:sz w:val="24"/>
        </w:rPr>
      </w:pPr>
      <w:r>
        <w:rPr>
          <w:sz w:val="24"/>
        </w:rPr>
        <w:t xml:space="preserve">For the bonus question, I conducted a regression analysis to validate my hypothesis reg. a correlation </w:t>
      </w:r>
      <w:r w:rsidR="00856B27">
        <w:rPr>
          <w:sz w:val="24"/>
        </w:rPr>
        <w:t>between goal amount and outcome: successful projects with lower goals achieve higher success rates.</w:t>
      </w:r>
    </w:p>
    <w:p w:rsidR="001B320C" w:rsidRDefault="001B320C" w:rsidP="001B320C">
      <w:pPr>
        <w:pStyle w:val="ListParagraph"/>
        <w:numPr>
          <w:ilvl w:val="2"/>
          <w:numId w:val="1"/>
        </w:numPr>
        <w:ind w:left="907" w:hanging="187"/>
        <w:rPr>
          <w:sz w:val="24"/>
        </w:rPr>
      </w:pPr>
      <w:r>
        <w:rPr>
          <w:sz w:val="24"/>
        </w:rPr>
        <w:t xml:space="preserve">I added a column </w:t>
      </w:r>
      <w:r w:rsidR="00856B27">
        <w:rPr>
          <w:sz w:val="24"/>
        </w:rPr>
        <w:t xml:space="preserve">called “Average Goal” (column J) </w:t>
      </w:r>
      <w:r>
        <w:rPr>
          <w:sz w:val="24"/>
        </w:rPr>
        <w:t xml:space="preserve">to the end of table </w:t>
      </w:r>
      <w:r w:rsidR="00856B27">
        <w:rPr>
          <w:sz w:val="24"/>
        </w:rPr>
        <w:t>i</w:t>
      </w:r>
      <w:r w:rsidR="00E9310B">
        <w:rPr>
          <w:sz w:val="24"/>
        </w:rPr>
        <w:t>n Bonus tab</w:t>
      </w:r>
      <w:r w:rsidR="00856B27">
        <w:rPr>
          <w:sz w:val="24"/>
        </w:rPr>
        <w:t>. This column contains the average goal amount for successful projects in each range of goal amount. I calculated the average using SUMIFS and dividing by the respective number of successful projects.</w:t>
      </w:r>
    </w:p>
    <w:p w:rsidR="00856B27" w:rsidRDefault="00856B27" w:rsidP="001B320C">
      <w:pPr>
        <w:pStyle w:val="ListParagraph"/>
        <w:numPr>
          <w:ilvl w:val="2"/>
          <w:numId w:val="1"/>
        </w:numPr>
        <w:ind w:left="907" w:hanging="187"/>
        <w:rPr>
          <w:sz w:val="24"/>
        </w:rPr>
      </w:pPr>
      <w:r>
        <w:rPr>
          <w:sz w:val="24"/>
        </w:rPr>
        <w:t xml:space="preserve">I then ran a regression on columns J and F with the first one as the </w:t>
      </w:r>
      <w:r w:rsidR="00694412">
        <w:rPr>
          <w:sz w:val="24"/>
        </w:rPr>
        <w:t>independent variable (X range) and the second one as the dependent variable (Y range). R square is 0.73 which confirms there is correlation between these two variables.  P-value is well below 0.05 which indicates that this correlation is not by chance.</w:t>
      </w:r>
    </w:p>
    <w:p w:rsidR="00694412" w:rsidRPr="001B320C" w:rsidRDefault="00694412" w:rsidP="00694412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Results of this regression analysis are captured in the tab titled “</w:t>
      </w:r>
      <w:r w:rsidRPr="00694412">
        <w:rPr>
          <w:sz w:val="24"/>
        </w:rPr>
        <w:t>Regression Analysis Results</w:t>
      </w:r>
      <w:r>
        <w:rPr>
          <w:sz w:val="24"/>
        </w:rPr>
        <w:t>”.</w:t>
      </w:r>
    </w:p>
    <w:sectPr w:rsidR="00694412" w:rsidRPr="001B3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66F12"/>
    <w:multiLevelType w:val="hybridMultilevel"/>
    <w:tmpl w:val="90B0510C"/>
    <w:lvl w:ilvl="0" w:tplc="B6D81A7C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8D347C08">
      <w:start w:val="1"/>
      <w:numFmt w:val="lowerLetter"/>
      <w:lvlText w:val="%2."/>
      <w:lvlJc w:val="left"/>
      <w:pPr>
        <w:ind w:left="1080" w:hanging="360"/>
      </w:pPr>
      <w:rPr>
        <w:sz w:val="24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FF0"/>
    <w:rsid w:val="00171C02"/>
    <w:rsid w:val="001B320C"/>
    <w:rsid w:val="002141F2"/>
    <w:rsid w:val="002F3FF0"/>
    <w:rsid w:val="004268DB"/>
    <w:rsid w:val="004C1ED7"/>
    <w:rsid w:val="005A1451"/>
    <w:rsid w:val="00694412"/>
    <w:rsid w:val="006C2C56"/>
    <w:rsid w:val="00856B27"/>
    <w:rsid w:val="008E3DE3"/>
    <w:rsid w:val="00941709"/>
    <w:rsid w:val="00AE4CC3"/>
    <w:rsid w:val="00B07447"/>
    <w:rsid w:val="00BB7E1D"/>
    <w:rsid w:val="00E9310B"/>
    <w:rsid w:val="00FB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DFED6"/>
  <w15:chartTrackingRefBased/>
  <w15:docId w15:val="{A21F4143-175B-445C-9166-6B5B9327E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FF0"/>
    <w:pPr>
      <w:ind w:left="720"/>
      <w:contextualSpacing/>
    </w:pPr>
  </w:style>
  <w:style w:type="table" w:styleId="TableGrid">
    <w:name w:val="Table Grid"/>
    <w:basedOn w:val="TableNormal"/>
    <w:uiPriority w:val="39"/>
    <w:rsid w:val="002F3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ontiev\Desktop\BigData-UCB\Homeworks\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ontiev\Desktop\BigData-UCB\Homeworks\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[StarterBook.xlsx]Campaign Status by Category!PivotTable2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 1</a:t>
            </a:r>
          </a:p>
          <a:p>
            <a:pPr>
              <a:defRPr/>
            </a:pPr>
            <a:r>
              <a:rPr lang="en-US"/>
              <a:t>Percent</a:t>
            </a:r>
            <a:r>
              <a:rPr lang="en-US" baseline="0"/>
              <a:t> Outcome by Category</a:t>
            </a:r>
            <a:endParaRPr lang="en-US"/>
          </a:p>
        </c:rich>
      </c:tx>
      <c:layout>
        <c:manualLayout>
          <c:xMode val="edge"/>
          <c:yMode val="edge"/>
          <c:x val="0.27610498687664042"/>
          <c:y val="6.287172818993956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6">
              <a:lumMod val="50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6">
              <a:lumMod val="50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6">
              <a:lumMod val="5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8"/>
        <c:spPr>
          <a:solidFill>
            <a:schemeClr val="accent6">
              <a:lumMod val="50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1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20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2"/>
        <c:spPr>
          <a:solidFill>
            <a:schemeClr val="accent6">
              <a:lumMod val="50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2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'Campaign Status by Category'!$B$3:$B$4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cat>
            <c:strRef>
              <c:f>'Campaign Status by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'Campaign Status by Category'!$B$5:$B$14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B6-4E6E-9912-DB19DE85315D}"/>
            </c:ext>
          </c:extLst>
        </c:ser>
        <c:ser>
          <c:idx val="1"/>
          <c:order val="1"/>
          <c:tx>
            <c:strRef>
              <c:f>'Campaign Status by Category'!$C$3:$C$4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'Campaign Status by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'Campaign Status by Category'!$C$5:$C$14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1B6-4E6E-9912-DB19DE85315D}"/>
            </c:ext>
          </c:extLst>
        </c:ser>
        <c:ser>
          <c:idx val="2"/>
          <c:order val="2"/>
          <c:tx>
            <c:strRef>
              <c:f>'Campaign Status by Category'!$D$3:$D$4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6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'Campaign Status by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'Campaign Status by Category'!$D$5:$D$14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1B6-4E6E-9912-DB19DE85315D}"/>
            </c:ext>
          </c:extLst>
        </c:ser>
        <c:ser>
          <c:idx val="3"/>
          <c:order val="3"/>
          <c:tx>
            <c:strRef>
              <c:f>'Campaign Status by Category'!$E$3:$E$4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'Campaign Status by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'Campaign Status by Category'!$E$5:$E$14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1B6-4E6E-9912-DB19DE8531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537300824"/>
        <c:axId val="537301152"/>
      </c:barChart>
      <c:catAx>
        <c:axId val="5373008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Sub-category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301152"/>
        <c:crosses val="autoZero"/>
        <c:auto val="1"/>
        <c:lblAlgn val="ctr"/>
        <c:lblOffset val="100"/>
        <c:noMultiLvlLbl val="0"/>
      </c:catAx>
      <c:valAx>
        <c:axId val="53730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 Outcome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300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[StarterBook.xlsx]Campaign Status by Sub-category!PivotTable3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</a:t>
            </a:r>
            <a:r>
              <a:rPr lang="en-US" baseline="0"/>
              <a:t> 2</a:t>
            </a:r>
          </a:p>
          <a:p>
            <a:pPr>
              <a:defRPr/>
            </a:pPr>
            <a:r>
              <a:rPr lang="en-US" baseline="0"/>
              <a:t>Percent Outcome by Sub-category</a:t>
            </a:r>
            <a:endParaRPr lang="en-US"/>
          </a:p>
        </c:rich>
      </c:tx>
      <c:layout>
        <c:manualLayout>
          <c:xMode val="edge"/>
          <c:yMode val="edge"/>
          <c:x val="0.35718137888040064"/>
          <c:y val="5.172089337889368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rgbClr val="0070C0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bg2">
              <a:lumMod val="75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bg2">
              <a:lumMod val="75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rgbClr val="0070C0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bg2">
              <a:lumMod val="75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rgbClr val="0070C0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bg2">
              <a:lumMod val="75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8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</c:pivotFmt>
      <c:pivotFmt>
        <c:idx val="19"/>
        <c:spPr>
          <a:solidFill>
            <a:srgbClr val="0070C0"/>
          </a:solidFill>
          <a:ln>
            <a:noFill/>
          </a:ln>
          <a:effectLst/>
        </c:spPr>
        <c:marker>
          <c:symbol val="none"/>
        </c:marker>
      </c:pivotFmt>
      <c:pivotFmt>
        <c:idx val="20"/>
        <c:spPr>
          <a:solidFill>
            <a:schemeClr val="bg2">
              <a:lumMod val="75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2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</c:pivotFmt>
      <c:pivotFmt>
        <c:idx val="23"/>
        <c:spPr>
          <a:solidFill>
            <a:srgbClr val="0070C0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'Campaign Status by Sub-category'!$B$4:$B$5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bg2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'Campaign Status by Sub-category'!$A$6:$A$47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'Campaign Status by Sub-category'!$B$6:$B$47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FBC-455E-9BCD-39EFC6D486CF}"/>
            </c:ext>
          </c:extLst>
        </c:ser>
        <c:ser>
          <c:idx val="1"/>
          <c:order val="1"/>
          <c:tx>
            <c:strRef>
              <c:f>'Campaign Status by Sub-category'!$C$4:$C$5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'Campaign Status by Sub-category'!$A$6:$A$47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'Campaign Status by Sub-category'!$C$6:$C$47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FBC-455E-9BCD-39EFC6D486CF}"/>
            </c:ext>
          </c:extLst>
        </c:ser>
        <c:ser>
          <c:idx val="2"/>
          <c:order val="2"/>
          <c:tx>
            <c:strRef>
              <c:f>'Campaign Status by Sub-category'!$D$4:$D$5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cat>
            <c:strRef>
              <c:f>'Campaign Status by Sub-category'!$A$6:$A$47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'Campaign Status by Sub-category'!$D$6:$D$47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FBC-455E-9BCD-39EFC6D486CF}"/>
            </c:ext>
          </c:extLst>
        </c:ser>
        <c:ser>
          <c:idx val="3"/>
          <c:order val="3"/>
          <c:tx>
            <c:strRef>
              <c:f>'Campaign Status by Sub-category'!$E$4:$E$5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cat>
            <c:strRef>
              <c:f>'Campaign Status by Sub-category'!$A$6:$A$47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'Campaign Status by Sub-category'!$E$6:$E$47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FBC-455E-9BCD-39EFC6D486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540284192"/>
        <c:axId val="545897304"/>
      </c:barChart>
      <c:catAx>
        <c:axId val="540284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897304"/>
        <c:crosses val="autoZero"/>
        <c:auto val="1"/>
        <c:lblAlgn val="ctr"/>
        <c:lblOffset val="100"/>
        <c:noMultiLvlLbl val="0"/>
      </c:catAx>
      <c:valAx>
        <c:axId val="545897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0284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Leontiev</dc:creator>
  <cp:keywords/>
  <dc:description/>
  <cp:lastModifiedBy>Leontiev</cp:lastModifiedBy>
  <cp:revision>1</cp:revision>
  <dcterms:created xsi:type="dcterms:W3CDTF">2017-11-08T19:32:00Z</dcterms:created>
  <dcterms:modified xsi:type="dcterms:W3CDTF">2017-11-08T22:57:00Z</dcterms:modified>
</cp:coreProperties>
</file>