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6771" w14:textId="76065E82" w:rsidR="005647CF" w:rsidRPr="004E6437" w:rsidRDefault="005647CF" w:rsidP="005647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r w:rsidRPr="004E6437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9. [D] Progetto fisico e sua validazione</w:t>
      </w:r>
    </w:p>
    <w:p w14:paraId="0ADC4364" w14:textId="3F120B73" w:rsidR="00B33796" w:rsidRPr="00830BDD" w:rsidRDefault="00B33796" w:rsidP="002F2526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</w:p>
    <w:p w14:paraId="324E167E" w14:textId="19A33644" w:rsidR="00B33796" w:rsidRPr="00830BDD" w:rsidRDefault="00B33796" w:rsidP="002F25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  <w:r w:rsidRPr="00830BDD">
        <w:rPr>
          <w:rFonts w:ascii="Arial" w:eastAsia="Times New Roman" w:hAnsi="Arial" w:cs="Arial"/>
          <w:b/>
          <w:bCs/>
          <w:color w:val="000000"/>
          <w:lang w:eastAsia="it-IT"/>
        </w:rPr>
        <w:t>Interrogazione 1</w:t>
      </w:r>
    </w:p>
    <w:p w14:paraId="320416A1" w14:textId="5A33DD89" w:rsidR="002F2526" w:rsidRPr="00830BDD" w:rsidRDefault="002F2526" w:rsidP="002F25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830BDD">
        <w:rPr>
          <w:rFonts w:ascii="Arial" w:eastAsia="Times New Roman" w:hAnsi="Arial" w:cs="Arial"/>
          <w:color w:val="000000"/>
          <w:lang w:eastAsia="it-IT"/>
        </w:rPr>
        <w:t>--Determinare i clienti con saldo maggiore o uguale di 45 e punti mensili maggiori di 37</w:t>
      </w:r>
    </w:p>
    <w:p w14:paraId="61E4EEBC" w14:textId="77777777" w:rsidR="002F2526" w:rsidRPr="00830BDD" w:rsidRDefault="002F2526" w:rsidP="002F252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26A790BE" w14:textId="77777777" w:rsidR="002F2526" w:rsidRPr="00830BDD" w:rsidRDefault="002F2526" w:rsidP="002F25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830BDD">
        <w:rPr>
          <w:rFonts w:ascii="Arial" w:eastAsia="Times New Roman" w:hAnsi="Arial" w:cs="Arial"/>
          <w:color w:val="000000"/>
          <w:lang w:eastAsia="it-IT"/>
        </w:rPr>
        <w:t>SELECT *</w:t>
      </w:r>
    </w:p>
    <w:p w14:paraId="056898D3" w14:textId="77777777" w:rsidR="002F2526" w:rsidRPr="00830BDD" w:rsidRDefault="002F2526" w:rsidP="002F25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830BDD">
        <w:rPr>
          <w:rFonts w:ascii="Arial" w:eastAsia="Times New Roman" w:hAnsi="Arial" w:cs="Arial"/>
          <w:color w:val="000000"/>
          <w:lang w:eastAsia="it-IT"/>
        </w:rPr>
        <w:t>FROM socialmarket.cliente</w:t>
      </w:r>
    </w:p>
    <w:p w14:paraId="18BB9B4A" w14:textId="77777777" w:rsidR="002F2526" w:rsidRPr="00830BDD" w:rsidRDefault="002F2526" w:rsidP="002F25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830BDD">
        <w:rPr>
          <w:rFonts w:ascii="Arial" w:eastAsia="Times New Roman" w:hAnsi="Arial" w:cs="Arial"/>
          <w:color w:val="000000"/>
          <w:lang w:eastAsia="it-IT"/>
        </w:rPr>
        <w:t>WHERE saldo &gt;= 45 AND puntimensili &gt; 37;</w:t>
      </w:r>
    </w:p>
    <w:p w14:paraId="7041280B" w14:textId="77777777" w:rsidR="002F2526" w:rsidRPr="00830BDD" w:rsidRDefault="002F2526" w:rsidP="002F252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2089C1E2" w14:textId="3E7ED89B" w:rsidR="002F2526" w:rsidRPr="00830BDD" w:rsidRDefault="002F2526" w:rsidP="002F25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830BDD">
        <w:rPr>
          <w:rFonts w:ascii="Arial" w:eastAsia="Times New Roman" w:hAnsi="Arial" w:cs="Arial"/>
          <w:color w:val="000000"/>
          <w:lang w:eastAsia="it-IT"/>
        </w:rPr>
        <w:t>Eseguendo più volte le query con e senza indici, possiamo notare che:</w:t>
      </w:r>
      <w:r w:rsidRPr="00830BDD">
        <w:rPr>
          <w:rFonts w:ascii="Arial" w:eastAsia="Times New Roman" w:hAnsi="Arial" w:cs="Arial"/>
          <w:sz w:val="24"/>
          <w:szCs w:val="24"/>
          <w:lang w:eastAsia="it-IT"/>
        </w:rPr>
        <w:br/>
      </w:r>
    </w:p>
    <w:p w14:paraId="5FDFBEE9" w14:textId="77777777" w:rsidR="002F2526" w:rsidRPr="00830BDD" w:rsidRDefault="002F2526" w:rsidP="002F25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30BDD">
        <w:rPr>
          <w:rFonts w:ascii="Arial" w:eastAsia="Times New Roman" w:hAnsi="Arial" w:cs="Arial"/>
          <w:color w:val="000000"/>
          <w:lang w:eastAsia="it-IT"/>
        </w:rPr>
        <w:t>senza indici: 71 ms</w:t>
      </w:r>
    </w:p>
    <w:p w14:paraId="25ABD93F" w14:textId="77777777" w:rsidR="002F2526" w:rsidRPr="00830BDD" w:rsidRDefault="002F2526" w:rsidP="002F25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30BDD">
        <w:rPr>
          <w:rFonts w:ascii="Arial" w:eastAsia="Times New Roman" w:hAnsi="Arial" w:cs="Arial"/>
          <w:color w:val="000000"/>
          <w:lang w:eastAsia="it-IT"/>
        </w:rPr>
        <w:t>con (I_CF(codicefiscale)): 43 ms</w:t>
      </w:r>
    </w:p>
    <w:p w14:paraId="4CBA0F3E" w14:textId="77777777" w:rsidR="002F2526" w:rsidRPr="00830BDD" w:rsidRDefault="002F2526" w:rsidP="002F25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30BDD">
        <w:rPr>
          <w:rFonts w:ascii="Arial" w:eastAsia="Times New Roman" w:hAnsi="Arial" w:cs="Arial"/>
          <w:color w:val="000000"/>
          <w:lang w:eastAsia="it-IT"/>
        </w:rPr>
        <w:t>con CLUSTER (I_CF(codicefiscale)): 37 ms</w:t>
      </w:r>
    </w:p>
    <w:p w14:paraId="18E790B2" w14:textId="77777777" w:rsidR="002F2526" w:rsidRPr="00830BDD" w:rsidRDefault="002F2526" w:rsidP="002F25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30BDD">
        <w:rPr>
          <w:rFonts w:ascii="Arial" w:eastAsia="Times New Roman" w:hAnsi="Arial" w:cs="Arial"/>
          <w:color w:val="000000"/>
          <w:lang w:eastAsia="it-IT"/>
        </w:rPr>
        <w:t>con (I_saldo_punti(saldo, puntimensili): 35 ms</w:t>
      </w:r>
    </w:p>
    <w:p w14:paraId="019BDD60" w14:textId="234888A1" w:rsidR="00830BDD" w:rsidRDefault="00830BDD">
      <w:pPr>
        <w:rPr>
          <w:rFonts w:ascii="Arial" w:hAnsi="Arial" w:cs="Arial"/>
        </w:rPr>
      </w:pPr>
    </w:p>
    <w:p w14:paraId="44D6D1FF" w14:textId="004303B3" w:rsidR="004B4F73" w:rsidRDefault="004B4F73">
      <w:pPr>
        <w:rPr>
          <w:rFonts w:ascii="Arial" w:hAnsi="Arial" w:cs="Arial"/>
        </w:rPr>
      </w:pPr>
      <w:r w:rsidRPr="004B4F73">
        <w:rPr>
          <w:rFonts w:ascii="Arial" w:hAnsi="Arial" w:cs="Arial"/>
        </w:rPr>
        <w:drawing>
          <wp:inline distT="0" distB="0" distL="0" distR="0" wp14:anchorId="6728388A" wp14:editId="34F1EA0C">
            <wp:extent cx="6120130" cy="7842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673D" w14:textId="77777777" w:rsidR="004E6437" w:rsidRPr="00830BDD" w:rsidRDefault="004E6437">
      <w:pPr>
        <w:rPr>
          <w:rFonts w:ascii="Arial" w:hAnsi="Arial" w:cs="Arial"/>
        </w:rPr>
      </w:pPr>
    </w:p>
    <w:p w14:paraId="0DDC35C9" w14:textId="238964E9" w:rsidR="00830BDD" w:rsidRPr="00830BDD" w:rsidRDefault="00830BDD" w:rsidP="00830BD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  <w:r w:rsidRPr="00830BDD">
        <w:rPr>
          <w:rFonts w:ascii="Arial" w:eastAsia="Times New Roman" w:hAnsi="Arial" w:cs="Arial"/>
          <w:b/>
          <w:bCs/>
          <w:color w:val="000000"/>
          <w:lang w:eastAsia="it-IT"/>
        </w:rPr>
        <w:t xml:space="preserve">Interrogazione 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>2</w:t>
      </w:r>
    </w:p>
    <w:p w14:paraId="3D1A6E8F" w14:textId="0DF1BC94" w:rsidR="00830BDD" w:rsidRPr="00830BDD" w:rsidRDefault="00830BDD" w:rsidP="00830BDD">
      <w:pPr>
        <w:rPr>
          <w:rFonts w:ascii="Arial" w:hAnsi="Arial" w:cs="Arial"/>
        </w:rPr>
      </w:pPr>
      <w:r w:rsidRPr="00830BDD">
        <w:rPr>
          <w:rFonts w:ascii="Arial" w:hAnsi="Arial" w:cs="Arial"/>
        </w:rPr>
        <w:t>--Determinare i prodotti il cui rifornimento è uguale allo scarico</w:t>
      </w:r>
    </w:p>
    <w:p w14:paraId="3A104103" w14:textId="77777777" w:rsidR="00830BDD" w:rsidRPr="00830BDD" w:rsidRDefault="00830BDD" w:rsidP="00830BDD">
      <w:pPr>
        <w:rPr>
          <w:rFonts w:ascii="Arial" w:hAnsi="Arial" w:cs="Arial"/>
        </w:rPr>
      </w:pPr>
    </w:p>
    <w:p w14:paraId="1C9ADA7F" w14:textId="77777777" w:rsidR="00830BDD" w:rsidRPr="00830BDD" w:rsidRDefault="00830BDD" w:rsidP="00830BDD">
      <w:pPr>
        <w:rPr>
          <w:rFonts w:ascii="Arial" w:hAnsi="Arial" w:cs="Arial"/>
        </w:rPr>
      </w:pPr>
      <w:r w:rsidRPr="00830BDD">
        <w:rPr>
          <w:rFonts w:ascii="Arial" w:hAnsi="Arial" w:cs="Arial"/>
        </w:rPr>
        <w:t>SELECT rifornisce.nome, rifornisce.quantita AS rQ, scarica.quantita AS sQ</w:t>
      </w:r>
    </w:p>
    <w:p w14:paraId="7BBCFBC5" w14:textId="77777777" w:rsidR="00830BDD" w:rsidRPr="00830BDD" w:rsidRDefault="00830BDD" w:rsidP="00830BDD">
      <w:pPr>
        <w:rPr>
          <w:rFonts w:ascii="Arial" w:hAnsi="Arial" w:cs="Arial"/>
        </w:rPr>
      </w:pPr>
      <w:r w:rsidRPr="00830BDD">
        <w:rPr>
          <w:rFonts w:ascii="Arial" w:hAnsi="Arial" w:cs="Arial"/>
        </w:rPr>
        <w:t>FROM socialmarket.scarica</w:t>
      </w:r>
    </w:p>
    <w:p w14:paraId="1C13B944" w14:textId="77777777" w:rsidR="00830BDD" w:rsidRPr="00830BDD" w:rsidRDefault="00830BDD" w:rsidP="00830BDD">
      <w:pPr>
        <w:rPr>
          <w:rFonts w:ascii="Arial" w:hAnsi="Arial" w:cs="Arial"/>
        </w:rPr>
      </w:pPr>
      <w:r w:rsidRPr="00830BDD">
        <w:rPr>
          <w:rFonts w:ascii="Arial" w:hAnsi="Arial" w:cs="Arial"/>
        </w:rPr>
        <w:t>JOIN socialmarket.rifornisce ON rifornisce.quantita = scarica.quantita;</w:t>
      </w:r>
    </w:p>
    <w:p w14:paraId="3BB7338E" w14:textId="34445ABE" w:rsidR="00830BDD" w:rsidRDefault="00830BDD" w:rsidP="00830BDD">
      <w:pPr>
        <w:rPr>
          <w:rFonts w:ascii="Arial" w:hAnsi="Arial" w:cs="Arial"/>
        </w:rPr>
      </w:pPr>
    </w:p>
    <w:p w14:paraId="1FF110AE" w14:textId="0C4B983E" w:rsidR="008D715D" w:rsidRPr="00830BDD" w:rsidRDefault="008D715D" w:rsidP="008D71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Anche con questa interrogazione possiamo notare come il t</w:t>
      </w:r>
      <w:r w:rsidRPr="00830BDD">
        <w:rPr>
          <w:rFonts w:ascii="Arial" w:eastAsia="Times New Roman" w:hAnsi="Arial" w:cs="Arial"/>
          <w:color w:val="000000"/>
          <w:lang w:eastAsia="it-IT"/>
        </w:rPr>
        <w:t xml:space="preserve">empo di esecuzione senza l’utilizzo di indici è nettamente maggiore rispetto al loro mancato utilizzo. </w:t>
      </w:r>
    </w:p>
    <w:p w14:paraId="3D5A0C35" w14:textId="6685517E" w:rsidR="008D715D" w:rsidRDefault="008D715D" w:rsidP="00830BDD">
      <w:pPr>
        <w:rPr>
          <w:rFonts w:ascii="Arial" w:hAnsi="Arial" w:cs="Arial"/>
        </w:rPr>
      </w:pPr>
    </w:p>
    <w:p w14:paraId="0679911E" w14:textId="6B966B4A" w:rsidR="008D715D" w:rsidRPr="00830BDD" w:rsidRDefault="008D715D" w:rsidP="008D71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30BDD">
        <w:rPr>
          <w:rFonts w:ascii="Arial" w:eastAsia="Times New Roman" w:hAnsi="Arial" w:cs="Arial"/>
          <w:color w:val="000000"/>
          <w:lang w:eastAsia="it-IT"/>
        </w:rPr>
        <w:t>senza indici</w:t>
      </w:r>
      <w:r>
        <w:rPr>
          <w:rFonts w:ascii="Arial" w:eastAsia="Times New Roman" w:hAnsi="Arial" w:cs="Arial"/>
          <w:color w:val="000000"/>
          <w:lang w:eastAsia="it-IT"/>
        </w:rPr>
        <w:t>: 52 ms</w:t>
      </w:r>
    </w:p>
    <w:p w14:paraId="00C0E9DE" w14:textId="4478FBDD" w:rsidR="008D715D" w:rsidRPr="00830BDD" w:rsidRDefault="008D715D" w:rsidP="008D71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30BDD">
        <w:rPr>
          <w:rFonts w:ascii="Arial" w:eastAsia="Times New Roman" w:hAnsi="Arial" w:cs="Arial"/>
          <w:color w:val="000000"/>
          <w:lang w:eastAsia="it-IT"/>
        </w:rPr>
        <w:t>con (I_</w:t>
      </w:r>
      <w:r>
        <w:rPr>
          <w:rFonts w:ascii="Arial" w:eastAsia="Times New Roman" w:hAnsi="Arial" w:cs="Arial"/>
          <w:color w:val="000000"/>
          <w:lang w:eastAsia="it-IT"/>
        </w:rPr>
        <w:t>Prodotto</w:t>
      </w:r>
      <w:r w:rsidRPr="00830BDD">
        <w:rPr>
          <w:rFonts w:ascii="Arial" w:eastAsia="Times New Roman" w:hAnsi="Arial" w:cs="Arial"/>
          <w:color w:val="000000"/>
          <w:lang w:eastAsia="it-IT"/>
        </w:rPr>
        <w:t>(</w:t>
      </w:r>
      <w:r>
        <w:rPr>
          <w:rFonts w:ascii="Arial" w:eastAsia="Times New Roman" w:hAnsi="Arial" w:cs="Arial"/>
          <w:color w:val="000000"/>
          <w:lang w:eastAsia="it-IT"/>
        </w:rPr>
        <w:t>nome</w:t>
      </w:r>
      <w:r w:rsidRPr="00830BDD">
        <w:rPr>
          <w:rFonts w:ascii="Arial" w:eastAsia="Times New Roman" w:hAnsi="Arial" w:cs="Arial"/>
          <w:color w:val="000000"/>
          <w:lang w:eastAsia="it-IT"/>
        </w:rPr>
        <w:t>)): 43 ms</w:t>
      </w:r>
    </w:p>
    <w:p w14:paraId="23942C70" w14:textId="1FDFB926" w:rsidR="008D715D" w:rsidRDefault="008D715D" w:rsidP="00830B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30BDD">
        <w:rPr>
          <w:rFonts w:ascii="Arial" w:eastAsia="Times New Roman" w:hAnsi="Arial" w:cs="Arial"/>
          <w:color w:val="000000"/>
          <w:lang w:eastAsia="it-IT"/>
        </w:rPr>
        <w:t>con CLUSTER (I_</w:t>
      </w:r>
      <w:r>
        <w:rPr>
          <w:rFonts w:ascii="Arial" w:eastAsia="Times New Roman" w:hAnsi="Arial" w:cs="Arial"/>
          <w:color w:val="000000"/>
          <w:lang w:eastAsia="it-IT"/>
        </w:rPr>
        <w:t>prodotto</w:t>
      </w:r>
      <w:r w:rsidRPr="00830BDD">
        <w:rPr>
          <w:rFonts w:ascii="Arial" w:eastAsia="Times New Roman" w:hAnsi="Arial" w:cs="Arial"/>
          <w:color w:val="000000"/>
          <w:lang w:eastAsia="it-IT"/>
        </w:rPr>
        <w:t>(</w:t>
      </w:r>
      <w:r>
        <w:rPr>
          <w:rFonts w:ascii="Arial" w:eastAsia="Times New Roman" w:hAnsi="Arial" w:cs="Arial"/>
          <w:color w:val="000000"/>
          <w:lang w:eastAsia="it-IT"/>
        </w:rPr>
        <w:t>nome</w:t>
      </w:r>
      <w:r w:rsidRPr="00830BDD">
        <w:rPr>
          <w:rFonts w:ascii="Arial" w:eastAsia="Times New Roman" w:hAnsi="Arial" w:cs="Arial"/>
          <w:color w:val="000000"/>
          <w:lang w:eastAsia="it-IT"/>
        </w:rPr>
        <w:t>)):</w:t>
      </w:r>
      <w:r>
        <w:rPr>
          <w:rFonts w:ascii="Arial" w:eastAsia="Times New Roman" w:hAnsi="Arial" w:cs="Arial"/>
          <w:color w:val="000000"/>
          <w:lang w:eastAsia="it-IT"/>
        </w:rPr>
        <w:t xml:space="preserve"> 32</w:t>
      </w:r>
      <w:r w:rsidRPr="00830BDD">
        <w:rPr>
          <w:rFonts w:ascii="Arial" w:eastAsia="Times New Roman" w:hAnsi="Arial" w:cs="Arial"/>
          <w:color w:val="000000"/>
          <w:lang w:eastAsia="it-IT"/>
        </w:rPr>
        <w:t xml:space="preserve"> ms</w:t>
      </w:r>
    </w:p>
    <w:p w14:paraId="43D79874" w14:textId="77777777" w:rsidR="00877382" w:rsidRPr="00F9071B" w:rsidRDefault="00877382" w:rsidP="0087738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</w:p>
    <w:p w14:paraId="3836EB1E" w14:textId="1A6B11D7" w:rsidR="008D715D" w:rsidRDefault="00877382" w:rsidP="00830BDD">
      <w:pPr>
        <w:rPr>
          <w:rFonts w:ascii="Arial" w:hAnsi="Arial" w:cs="Arial"/>
        </w:rPr>
      </w:pPr>
      <w:r w:rsidRPr="00877382">
        <w:rPr>
          <w:rFonts w:ascii="Arial" w:hAnsi="Arial" w:cs="Arial"/>
        </w:rPr>
        <w:lastRenderedPageBreak/>
        <w:drawing>
          <wp:inline distT="0" distB="0" distL="0" distR="0" wp14:anchorId="189836DB" wp14:editId="3158346B">
            <wp:extent cx="6120130" cy="214376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456E" w14:textId="4137CB61" w:rsidR="00877382" w:rsidRDefault="00877382" w:rsidP="00830BDD">
      <w:pPr>
        <w:rPr>
          <w:rFonts w:ascii="Arial" w:hAnsi="Arial" w:cs="Arial"/>
          <w:b/>
          <w:bCs/>
        </w:rPr>
      </w:pPr>
      <w:r w:rsidRPr="00877382">
        <w:rPr>
          <w:rFonts w:ascii="Arial" w:hAnsi="Arial" w:cs="Arial"/>
          <w:b/>
          <w:bCs/>
        </w:rPr>
        <w:drawing>
          <wp:inline distT="0" distB="0" distL="0" distR="0" wp14:anchorId="14821F3C" wp14:editId="6AE83527">
            <wp:extent cx="6120130" cy="1420495"/>
            <wp:effectExtent l="0" t="0" r="0" b="825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D437" w14:textId="41007D7F" w:rsidR="008D715D" w:rsidRPr="008D715D" w:rsidRDefault="008D715D" w:rsidP="00830BDD">
      <w:pPr>
        <w:rPr>
          <w:rFonts w:ascii="Arial" w:hAnsi="Arial" w:cs="Arial"/>
          <w:b/>
          <w:bCs/>
        </w:rPr>
      </w:pPr>
      <w:r w:rsidRPr="008D715D">
        <w:rPr>
          <w:rFonts w:ascii="Arial" w:hAnsi="Arial" w:cs="Arial"/>
          <w:b/>
          <w:bCs/>
        </w:rPr>
        <w:t>Interrogazione 3</w:t>
      </w:r>
    </w:p>
    <w:p w14:paraId="6320A8F0" w14:textId="77777777" w:rsidR="008D715D" w:rsidRPr="008D715D" w:rsidRDefault="008D715D" w:rsidP="008D715D">
      <w:pPr>
        <w:rPr>
          <w:rFonts w:ascii="Arial" w:hAnsi="Arial" w:cs="Arial"/>
        </w:rPr>
      </w:pPr>
      <w:r w:rsidRPr="008D715D">
        <w:rPr>
          <w:rFonts w:ascii="Arial" w:hAnsi="Arial" w:cs="Arial"/>
        </w:rPr>
        <w:t>--Determinare i membri autorizzati all'utilizzo della tessera appartenenti alla fascia di età identificata dalla lettera 't'</w:t>
      </w:r>
    </w:p>
    <w:p w14:paraId="76FDFB0A" w14:textId="62A88CAC" w:rsidR="008D715D" w:rsidRDefault="008D715D" w:rsidP="008D715D">
      <w:pPr>
        <w:rPr>
          <w:rFonts w:ascii="Arial" w:hAnsi="Arial" w:cs="Arial"/>
        </w:rPr>
      </w:pPr>
    </w:p>
    <w:p w14:paraId="77298709" w14:textId="50E997F7" w:rsidR="008D715D" w:rsidRDefault="008D715D" w:rsidP="008D715D">
      <w:pPr>
        <w:rPr>
          <w:rFonts w:ascii="Arial" w:hAnsi="Arial" w:cs="Arial"/>
        </w:rPr>
      </w:pPr>
    </w:p>
    <w:p w14:paraId="2C77CAB4" w14:textId="77777777" w:rsidR="002466E3" w:rsidRDefault="002466E3" w:rsidP="008D715D">
      <w:pPr>
        <w:rPr>
          <w:rFonts w:ascii="Arial" w:hAnsi="Arial" w:cs="Arial"/>
        </w:rPr>
      </w:pPr>
    </w:p>
    <w:p w14:paraId="0072977C" w14:textId="77777777" w:rsidR="008D715D" w:rsidRPr="008D715D" w:rsidRDefault="008D715D" w:rsidP="008D715D">
      <w:pPr>
        <w:rPr>
          <w:rFonts w:ascii="Arial" w:hAnsi="Arial" w:cs="Arial"/>
        </w:rPr>
      </w:pPr>
    </w:p>
    <w:p w14:paraId="0894B881" w14:textId="77777777" w:rsidR="008D715D" w:rsidRPr="008D715D" w:rsidRDefault="008D715D" w:rsidP="008D715D">
      <w:pPr>
        <w:rPr>
          <w:rFonts w:ascii="Arial" w:hAnsi="Arial" w:cs="Arial"/>
        </w:rPr>
      </w:pPr>
      <w:r w:rsidRPr="008D715D">
        <w:rPr>
          <w:rFonts w:ascii="Arial" w:hAnsi="Arial" w:cs="Arial"/>
        </w:rPr>
        <w:t>SELECT membro.codicefiscale, persona.nome, persona.cognome</w:t>
      </w:r>
    </w:p>
    <w:p w14:paraId="4C76E8BB" w14:textId="77777777" w:rsidR="008D715D" w:rsidRPr="008D715D" w:rsidRDefault="008D715D" w:rsidP="008D715D">
      <w:pPr>
        <w:rPr>
          <w:rFonts w:ascii="Arial" w:hAnsi="Arial" w:cs="Arial"/>
        </w:rPr>
      </w:pPr>
      <w:r w:rsidRPr="008D715D">
        <w:rPr>
          <w:rFonts w:ascii="Arial" w:hAnsi="Arial" w:cs="Arial"/>
        </w:rPr>
        <w:t>FROM socialmarket.membro</w:t>
      </w:r>
    </w:p>
    <w:p w14:paraId="08CB2CCC" w14:textId="77777777" w:rsidR="008D715D" w:rsidRPr="008D715D" w:rsidRDefault="008D715D" w:rsidP="008D715D">
      <w:pPr>
        <w:rPr>
          <w:rFonts w:ascii="Arial" w:hAnsi="Arial" w:cs="Arial"/>
        </w:rPr>
      </w:pPr>
      <w:r w:rsidRPr="008D715D">
        <w:rPr>
          <w:rFonts w:ascii="Arial" w:hAnsi="Arial" w:cs="Arial"/>
        </w:rPr>
        <w:t>JOIN socialmarket.persona ON persona.codicefiscale = membro.codicefiscale</w:t>
      </w:r>
    </w:p>
    <w:p w14:paraId="75823FEF" w14:textId="77777777" w:rsidR="008D715D" w:rsidRPr="008D715D" w:rsidRDefault="008D715D" w:rsidP="008D715D">
      <w:pPr>
        <w:rPr>
          <w:rFonts w:ascii="Arial" w:hAnsi="Arial" w:cs="Arial"/>
        </w:rPr>
      </w:pPr>
      <w:r w:rsidRPr="008D715D">
        <w:rPr>
          <w:rFonts w:ascii="Arial" w:hAnsi="Arial" w:cs="Arial"/>
        </w:rPr>
        <w:t>WHERE membro.fasciaeta = 't' AND membro.autorizzato = true;</w:t>
      </w:r>
    </w:p>
    <w:p w14:paraId="20DBAC03" w14:textId="131C4F25" w:rsidR="008D715D" w:rsidRDefault="008D715D" w:rsidP="008D715D">
      <w:pPr>
        <w:rPr>
          <w:rFonts w:ascii="Arial" w:hAnsi="Arial" w:cs="Arial"/>
        </w:rPr>
      </w:pPr>
    </w:p>
    <w:p w14:paraId="011858F3" w14:textId="1E6DCB9F" w:rsidR="00F9071B" w:rsidRPr="00830BDD" w:rsidRDefault="00F9071B" w:rsidP="00F907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30BDD">
        <w:rPr>
          <w:rFonts w:ascii="Arial" w:eastAsia="Times New Roman" w:hAnsi="Arial" w:cs="Arial"/>
          <w:color w:val="000000"/>
          <w:lang w:eastAsia="it-IT"/>
        </w:rPr>
        <w:t>senza indici</w:t>
      </w:r>
      <w:r>
        <w:rPr>
          <w:rFonts w:ascii="Arial" w:eastAsia="Times New Roman" w:hAnsi="Arial" w:cs="Arial"/>
          <w:color w:val="000000"/>
          <w:lang w:eastAsia="it-IT"/>
        </w:rPr>
        <w:t xml:space="preserve">: </w:t>
      </w:r>
      <w:r w:rsidR="0052730C">
        <w:rPr>
          <w:rFonts w:ascii="Arial" w:eastAsia="Times New Roman" w:hAnsi="Arial" w:cs="Arial"/>
          <w:color w:val="000000"/>
          <w:lang w:eastAsia="it-IT"/>
        </w:rPr>
        <w:t>41</w:t>
      </w:r>
      <w:r>
        <w:rPr>
          <w:rFonts w:ascii="Arial" w:eastAsia="Times New Roman" w:hAnsi="Arial" w:cs="Arial"/>
          <w:color w:val="000000"/>
          <w:lang w:eastAsia="it-IT"/>
        </w:rPr>
        <w:t xml:space="preserve"> ms</w:t>
      </w:r>
    </w:p>
    <w:p w14:paraId="401502C7" w14:textId="54714B61" w:rsidR="00F9071B" w:rsidRPr="00F9071B" w:rsidRDefault="00F9071B" w:rsidP="0043241B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</w:rPr>
      </w:pPr>
      <w:r w:rsidRPr="00F9071B">
        <w:rPr>
          <w:rFonts w:ascii="Arial" w:eastAsia="Times New Roman" w:hAnsi="Arial" w:cs="Arial"/>
          <w:color w:val="000000"/>
          <w:lang w:eastAsia="it-IT"/>
        </w:rPr>
        <w:t xml:space="preserve">con CLUSTER (I_CF(codicefiscale)): </w:t>
      </w:r>
      <w:r w:rsidR="0052730C">
        <w:rPr>
          <w:rFonts w:ascii="Arial" w:eastAsia="Times New Roman" w:hAnsi="Arial" w:cs="Arial"/>
          <w:color w:val="000000"/>
          <w:lang w:eastAsia="it-IT"/>
        </w:rPr>
        <w:t>33 ms</w:t>
      </w:r>
    </w:p>
    <w:p w14:paraId="01CA05A1" w14:textId="63EA7B1B" w:rsidR="00830BDD" w:rsidRDefault="00830BDD" w:rsidP="008D715D">
      <w:pPr>
        <w:rPr>
          <w:rFonts w:ascii="Arial" w:hAnsi="Arial" w:cs="Arial"/>
        </w:rPr>
      </w:pPr>
    </w:p>
    <w:p w14:paraId="358194CC" w14:textId="473635B8" w:rsidR="00BE040E" w:rsidRDefault="00BE040E" w:rsidP="008D715D">
      <w:pPr>
        <w:rPr>
          <w:rFonts w:ascii="Arial" w:hAnsi="Arial" w:cs="Arial"/>
        </w:rPr>
      </w:pPr>
    </w:p>
    <w:p w14:paraId="05B7A4FF" w14:textId="49EB7E6E" w:rsidR="00BE040E" w:rsidRDefault="00BE040E" w:rsidP="008D715D">
      <w:pPr>
        <w:rPr>
          <w:rFonts w:ascii="Arial" w:hAnsi="Arial" w:cs="Arial"/>
        </w:rPr>
      </w:pPr>
      <w:r w:rsidRPr="00BE040E">
        <w:rPr>
          <w:rFonts w:ascii="Arial" w:hAnsi="Arial" w:cs="Arial"/>
        </w:rPr>
        <w:lastRenderedPageBreak/>
        <w:drawing>
          <wp:inline distT="0" distB="0" distL="0" distR="0" wp14:anchorId="6A5E1F18" wp14:editId="101D804D">
            <wp:extent cx="6120130" cy="2118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560F" w14:textId="58E9C4B1" w:rsidR="00BE040E" w:rsidRDefault="00BE040E" w:rsidP="008D715D">
      <w:pPr>
        <w:rPr>
          <w:rFonts w:ascii="Arial" w:hAnsi="Arial" w:cs="Arial"/>
        </w:rPr>
      </w:pPr>
    </w:p>
    <w:p w14:paraId="1B2B9531" w14:textId="52277C01" w:rsidR="00BE040E" w:rsidRDefault="00BE040E" w:rsidP="008D715D">
      <w:pPr>
        <w:rPr>
          <w:rFonts w:ascii="Arial" w:hAnsi="Arial" w:cs="Arial"/>
        </w:rPr>
      </w:pPr>
      <w:r w:rsidRPr="00BE040E">
        <w:rPr>
          <w:rFonts w:ascii="Arial" w:hAnsi="Arial" w:cs="Arial"/>
        </w:rPr>
        <w:drawing>
          <wp:inline distT="0" distB="0" distL="0" distR="0" wp14:anchorId="4FCD192A" wp14:editId="41D5BBFD">
            <wp:extent cx="6120130" cy="139065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8C71" w14:textId="25F19843" w:rsidR="00BE040E" w:rsidRPr="004B4F73" w:rsidRDefault="00BE040E" w:rsidP="00BE040E">
      <w:pPr>
        <w:rPr>
          <w:color w:val="000000"/>
        </w:rPr>
      </w:pPr>
      <w:r w:rsidRPr="004B4F73">
        <w:rPr>
          <w:color w:val="000000"/>
        </w:rPr>
        <w:t>La scelta è ricaduta sul</w:t>
      </w:r>
      <w:r w:rsidRPr="004B4F73">
        <w:rPr>
          <w:color w:val="000000"/>
        </w:rPr>
        <w:t xml:space="preserve">l’hash join a </w:t>
      </w:r>
      <w:r w:rsidRPr="004B4F73">
        <w:rPr>
          <w:color w:val="000000"/>
        </w:rPr>
        <w:t>prescindere</w:t>
      </w:r>
      <w:r w:rsidRPr="004B4F73">
        <w:rPr>
          <w:color w:val="000000"/>
        </w:rPr>
        <w:t xml:space="preserve"> dagli indici perché</w:t>
      </w:r>
      <w:r w:rsidRPr="004B4F73">
        <w:rPr>
          <w:color w:val="000000"/>
        </w:rPr>
        <w:t xml:space="preserve"> non è richiesto l’utilizzo di tabelle ordinate per il suo funzionamento.</w:t>
      </w:r>
    </w:p>
    <w:p w14:paraId="406AF897" w14:textId="62CF8E32" w:rsidR="004B4F73" w:rsidRPr="004B4F73" w:rsidRDefault="004B4F73" w:rsidP="00BE040E">
      <w:pPr>
        <w:rPr>
          <w:color w:val="000000"/>
        </w:rPr>
      </w:pPr>
    </w:p>
    <w:p w14:paraId="4F8F1018" w14:textId="4DCC09CD" w:rsidR="004B4F73" w:rsidRPr="004B4F73" w:rsidRDefault="004B4F73" w:rsidP="00BE040E">
      <w:pPr>
        <w:rPr>
          <w:color w:val="000000"/>
        </w:rPr>
      </w:pPr>
      <w:r w:rsidRPr="004B4F73">
        <w:rPr>
          <w:color w:val="000000"/>
        </w:rPr>
        <w:t>Per tutte e tre le interrogazioni</w:t>
      </w:r>
      <w:r>
        <w:rPr>
          <w:color w:val="000000"/>
        </w:rPr>
        <w:t xml:space="preserve"> la scelta del sistema è stata quella di usare scansioni sequenziali, probabilmente dovuta alla dimensione delle tabelle. Purtroppo </w:t>
      </w:r>
      <w:r w:rsidR="000B279A">
        <w:rPr>
          <w:color w:val="000000"/>
        </w:rPr>
        <w:t xml:space="preserve">non è stato possibile usare il programma Datanamic per il popolamento del database, portandoci alla decisione di utilizzare programmi terzi limitati nelle dimensioni massime di generazione. </w:t>
      </w:r>
    </w:p>
    <w:sectPr w:rsidR="004B4F73" w:rsidRPr="004B4F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364"/>
    <w:multiLevelType w:val="hybridMultilevel"/>
    <w:tmpl w:val="6A1C1F2C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382D574D"/>
    <w:multiLevelType w:val="multilevel"/>
    <w:tmpl w:val="F63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60529">
    <w:abstractNumId w:val="1"/>
  </w:num>
  <w:num w:numId="2" w16cid:durableId="97996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26"/>
    <w:rsid w:val="000A267E"/>
    <w:rsid w:val="000B279A"/>
    <w:rsid w:val="002466E3"/>
    <w:rsid w:val="002F2526"/>
    <w:rsid w:val="004B4F73"/>
    <w:rsid w:val="004E6437"/>
    <w:rsid w:val="0052730C"/>
    <w:rsid w:val="005647CF"/>
    <w:rsid w:val="00775AE1"/>
    <w:rsid w:val="00830BDD"/>
    <w:rsid w:val="00877382"/>
    <w:rsid w:val="008D715D"/>
    <w:rsid w:val="009B4E5F"/>
    <w:rsid w:val="00B33796"/>
    <w:rsid w:val="00BE040E"/>
    <w:rsid w:val="00CF21B3"/>
    <w:rsid w:val="00EA0C69"/>
    <w:rsid w:val="00F9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4AB8"/>
  <w15:chartTrackingRefBased/>
  <w15:docId w15:val="{322A48B6-3CA3-475C-AB27-1C931346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F2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BE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Patrone</dc:creator>
  <cp:keywords/>
  <dc:description/>
  <cp:lastModifiedBy>Alessandro Patrone</cp:lastModifiedBy>
  <cp:revision>17</cp:revision>
  <dcterms:created xsi:type="dcterms:W3CDTF">2022-07-17T13:27:00Z</dcterms:created>
  <dcterms:modified xsi:type="dcterms:W3CDTF">2022-07-17T14:57:00Z</dcterms:modified>
</cp:coreProperties>
</file>