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w:t>
      </w:r>
      <w:bookmarkStart w:id="0" w:name="_GoBack"/>
      <w:bookmarkEnd w:id="0"/>
      <w:r w:rsidRPr="0055167A">
        <w:rPr>
          <w:b/>
          <w:lang w:val="en-GB"/>
        </w:rPr>
        <w:t xml:space="preserve">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lastRenderedPageBreak/>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lastRenderedPageBreak/>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lastRenderedPageBreak/>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lastRenderedPageBreak/>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52.75pt" o:ole="" filled="t" fillcolor="#cfcdcd [2894]">
            <v:imagedata r:id="rId17" o:title=""/>
          </v:shape>
          <o:OLEObject Type="Embed" ProgID="Word.OpenDocumentText.12" ShapeID="_x0000_i1025" DrawAspect="Content" ObjectID="_1655621504"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lastRenderedPageBreak/>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pt" o:ole="" filled="t" fillcolor="#cfcdcd [2894]">
            <v:imagedata r:id="rId19" o:title=""/>
          </v:shape>
          <o:OLEObject Type="Embed" ProgID="Word.OpenDocumentText.12" ShapeID="_x0000_i1026" DrawAspect="Content" ObjectID="_1655621505" r:id="rId20"/>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lastRenderedPageBreak/>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75pt;height:177.75pt" o:ole="" filled="t" fillcolor="#cfcdcd [2894]">
            <v:imagedata r:id="rId21" o:title=""/>
          </v:shape>
          <o:OLEObject Type="Embed" ProgID="Word.OpenDocumentText.12" ShapeID="_x0000_i1027" DrawAspect="Content" ObjectID="_1655621506" r:id="rId22"/>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75pt;height:423pt" o:ole="" filled="t" fillcolor="#cfcdcd [2894]">
            <v:imagedata r:id="rId23" o:title=""/>
          </v:shape>
          <o:OLEObject Type="Embed" ProgID="Word.OpenDocumentText.12" ShapeID="_x0000_i1028" DrawAspect="Content" ObjectID="_1655621507"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lastRenderedPageBreak/>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75pt;height:297.75pt" o:ole="" filled="t" fillcolor="#cfcdcd [2894]">
            <v:imagedata r:id="rId25" o:title=""/>
          </v:shape>
          <o:OLEObject Type="Embed" ProgID="Word.OpenDocumentText.12" ShapeID="_x0000_i1029" DrawAspect="Content" ObjectID="_1655621508"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4.75pt;height:594.75pt" o:ole="" filled="t" fillcolor="#cfcdcd [2894]">
            <v:imagedata r:id="rId27" o:title=""/>
          </v:shape>
          <o:OLEObject Type="Embed" ProgID="Word.OpenDocumentText.12" ShapeID="_x0000_i1030" DrawAspect="Content" ObjectID="_1655621509"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5pt" o:ole="" filled="t" fillcolor="#cfcdcd [2894]">
            <v:imagedata r:id="rId29" o:title=""/>
          </v:shape>
          <o:OLEObject Type="Embed" ProgID="Word.OpenDocumentText.12" ShapeID="_x0000_i1031" DrawAspect="Content" ObjectID="_1655621510"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F55" w:rsidRDefault="00466F55" w:rsidP="00B813A6">
      <w:pPr>
        <w:spacing w:after="0" w:line="240" w:lineRule="auto"/>
      </w:pPr>
      <w:r>
        <w:separator/>
      </w:r>
    </w:p>
  </w:endnote>
  <w:endnote w:type="continuationSeparator" w:id="0">
    <w:p w:rsidR="00466F55" w:rsidRDefault="00466F55"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F55" w:rsidRDefault="00466F55" w:rsidP="00B813A6">
      <w:pPr>
        <w:spacing w:after="0" w:line="240" w:lineRule="auto"/>
      </w:pPr>
      <w:r>
        <w:separator/>
      </w:r>
    </w:p>
  </w:footnote>
  <w:footnote w:type="continuationSeparator" w:id="0">
    <w:p w:rsidR="00466F55" w:rsidRDefault="00466F55"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15872</TotalTime>
  <Pages>32</Pages>
  <Words>8120</Words>
  <Characters>46286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449</cp:revision>
  <dcterms:created xsi:type="dcterms:W3CDTF">2020-05-28T10:04:00Z</dcterms:created>
  <dcterms:modified xsi:type="dcterms:W3CDTF">2020-07-07T08:04:00Z</dcterms:modified>
</cp:coreProperties>
</file>