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83CE4" w14:textId="7988F696" w:rsidR="00A718CA" w:rsidRDefault="00A718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GitHub</w:t>
      </w:r>
    </w:p>
    <w:p w14:paraId="4A7FA8E1" w14:textId="3086B0FB" w:rsidR="00FB198B" w:rsidRDefault="00FB19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all materials related to this project, see </w:t>
      </w:r>
      <w:hyperlink r:id="rId5" w:history="1">
        <w:r w:rsidRPr="004244CE">
          <w:rPr>
            <w:rStyle w:val="Hyperlink"/>
            <w:rFonts w:ascii="Times New Roman" w:hAnsi="Times New Roman" w:cs="Times New Roman"/>
          </w:rPr>
          <w:t>https://github.com/alepigna12/eeii_icer_project</w:t>
        </w:r>
      </w:hyperlink>
      <w:r>
        <w:rPr>
          <w:rFonts w:ascii="Times New Roman" w:hAnsi="Times New Roman" w:cs="Times New Roman"/>
        </w:rPr>
        <w:t>.</w:t>
      </w:r>
    </w:p>
    <w:p w14:paraId="23DF3DEF" w14:textId="3AD6996A" w:rsidR="003672FF" w:rsidRDefault="003F19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</w:t>
      </w:r>
    </w:p>
    <w:p w14:paraId="64A02259" w14:textId="7714B535" w:rsidR="006D6DC0" w:rsidRPr="006D6DC0" w:rsidRDefault="006D6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aim of this project is to evaluate </w:t>
      </w:r>
      <w:r w:rsidR="00362236">
        <w:rPr>
          <w:rFonts w:ascii="Times New Roman" w:hAnsi="Times New Roman" w:cs="Times New Roman"/>
        </w:rPr>
        <w:t xml:space="preserve">the cost-effectiveness of </w:t>
      </w:r>
      <w:r w:rsidR="008064ED">
        <w:rPr>
          <w:rFonts w:ascii="Times New Roman" w:hAnsi="Times New Roman" w:cs="Times New Roman"/>
        </w:rPr>
        <w:t xml:space="preserve">FDA-approved medications </w:t>
      </w:r>
      <w:r w:rsidR="00362236">
        <w:rPr>
          <w:rFonts w:ascii="Times New Roman" w:hAnsi="Times New Roman" w:cs="Times New Roman"/>
        </w:rPr>
        <w:t>for obesity management.</w:t>
      </w:r>
    </w:p>
    <w:p w14:paraId="0F0AED3D" w14:textId="57AFBF3D" w:rsidR="003F19D4" w:rsidRDefault="003F19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Intervention</w:t>
      </w:r>
      <w:r w:rsidR="006B3DA3">
        <w:rPr>
          <w:rFonts w:ascii="Times New Roman" w:hAnsi="Times New Roman" w:cs="Times New Roman"/>
          <w:b/>
          <w:bCs/>
        </w:rPr>
        <w:t>s</w:t>
      </w:r>
    </w:p>
    <w:p w14:paraId="5FB0F7B4" w14:textId="3050E379" w:rsidR="00362236" w:rsidRPr="00720ECA" w:rsidRDefault="00720ECA" w:rsidP="00720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medications are considered: </w:t>
      </w:r>
      <w:proofErr w:type="spellStart"/>
      <w:r w:rsidRPr="00720ECA">
        <w:rPr>
          <w:rFonts w:ascii="Times New Roman" w:hAnsi="Times New Roman" w:cs="Times New Roman"/>
        </w:rPr>
        <w:t>Semaglutide</w:t>
      </w:r>
      <w:proofErr w:type="spellEnd"/>
      <w:r w:rsidRPr="00720ECA">
        <w:rPr>
          <w:rFonts w:ascii="Times New Roman" w:hAnsi="Times New Roman" w:cs="Times New Roman"/>
        </w:rPr>
        <w:t xml:space="preserve"> (SEM)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720ECA">
        <w:rPr>
          <w:rFonts w:ascii="Times New Roman" w:hAnsi="Times New Roman" w:cs="Times New Roman"/>
        </w:rPr>
        <w:t>Lliraglutide</w:t>
      </w:r>
      <w:proofErr w:type="spellEnd"/>
      <w:r w:rsidRPr="00720ECA">
        <w:rPr>
          <w:rFonts w:ascii="Times New Roman" w:hAnsi="Times New Roman" w:cs="Times New Roman"/>
        </w:rPr>
        <w:t xml:space="preserve"> (LIR)</w:t>
      </w:r>
      <w:r>
        <w:rPr>
          <w:rFonts w:ascii="Times New Roman" w:hAnsi="Times New Roman" w:cs="Times New Roman"/>
        </w:rPr>
        <w:t xml:space="preserve">, </w:t>
      </w:r>
      <w:r w:rsidRPr="00720ECA">
        <w:rPr>
          <w:rFonts w:ascii="Times New Roman" w:hAnsi="Times New Roman" w:cs="Times New Roman"/>
        </w:rPr>
        <w:t>Phentermine/topiramate (P/T)</w:t>
      </w:r>
      <w:r>
        <w:rPr>
          <w:rFonts w:ascii="Times New Roman" w:hAnsi="Times New Roman" w:cs="Times New Roman"/>
        </w:rPr>
        <w:t xml:space="preserve">, </w:t>
      </w:r>
      <w:r w:rsidRPr="00720ECA">
        <w:rPr>
          <w:rFonts w:ascii="Times New Roman" w:hAnsi="Times New Roman" w:cs="Times New Roman"/>
        </w:rPr>
        <w:t>Bupropion/naltrexone (B/N)</w:t>
      </w:r>
      <w:r>
        <w:rPr>
          <w:rFonts w:ascii="Times New Roman" w:hAnsi="Times New Roman" w:cs="Times New Roman"/>
        </w:rPr>
        <w:t xml:space="preserve">. Each intervention is associated </w:t>
      </w:r>
      <w:proofErr w:type="gramStart"/>
      <w:r>
        <w:rPr>
          <w:rFonts w:ascii="Times New Roman" w:hAnsi="Times New Roman" w:cs="Times New Roman"/>
        </w:rPr>
        <w:t>with lifestyle modification and compared to</w:t>
      </w:r>
      <w:proofErr w:type="gramEnd"/>
      <w:r>
        <w:rPr>
          <w:rFonts w:ascii="Times New Roman" w:hAnsi="Times New Roman" w:cs="Times New Roman"/>
        </w:rPr>
        <w:t xml:space="preserve"> lifestyle modification alone (LSM).</w:t>
      </w:r>
    </w:p>
    <w:p w14:paraId="50EBE118" w14:textId="00EF519A" w:rsidR="006B3DA3" w:rsidRDefault="006B3DA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Target Population</w:t>
      </w:r>
    </w:p>
    <w:p w14:paraId="0E278311" w14:textId="3C4D6B48" w:rsidR="00720ECA" w:rsidRPr="00565F31" w:rsidRDefault="00565F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target population i</w:t>
      </w:r>
      <w:r w:rsidR="008547C8">
        <w:rPr>
          <w:rFonts w:ascii="Times New Roman" w:hAnsi="Times New Roman" w:cs="Times New Roman"/>
        </w:rPr>
        <w:t xml:space="preserve">ncludes patients with BMI at the obesity level. The base-case population is </w:t>
      </w:r>
      <w:r w:rsidR="00B77489">
        <w:rPr>
          <w:rFonts w:ascii="Times New Roman" w:hAnsi="Times New Roman" w:cs="Times New Roman"/>
        </w:rPr>
        <w:t xml:space="preserve">80% female, with a mean BMI of 38, a </w:t>
      </w:r>
      <w:r w:rsidR="007B718B">
        <w:rPr>
          <w:rFonts w:ascii="Times New Roman" w:hAnsi="Times New Roman" w:cs="Times New Roman"/>
        </w:rPr>
        <w:t>35% prevalence of diagnosed hypertension and a 12.5% prevalence of smoking.</w:t>
      </w:r>
    </w:p>
    <w:p w14:paraId="1D93E4DA" w14:textId="247CD331" w:rsidR="006B3DA3" w:rsidRDefault="006B3DA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Perspective</w:t>
      </w:r>
    </w:p>
    <w:p w14:paraId="05C7DB9A" w14:textId="1CE6EBD1" w:rsidR="00565F31" w:rsidRPr="00241432" w:rsidRDefault="002414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analysis is conducted from the Health Care sector perspective.</w:t>
      </w:r>
    </w:p>
    <w:p w14:paraId="2A422BFF" w14:textId="7723D44F" w:rsidR="006B3DA3" w:rsidRDefault="0011677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Time Horizon</w:t>
      </w:r>
    </w:p>
    <w:p w14:paraId="3A30C60C" w14:textId="28AB75BB" w:rsidR="00720ECA" w:rsidRPr="00720ECA" w:rsidRDefault="003662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lifetime horizon is used, assuming no patients live beyond 119 years old.</w:t>
      </w:r>
    </w:p>
    <w:p w14:paraId="04F1C6D8" w14:textId="57ABD62B" w:rsidR="00116771" w:rsidRDefault="0011677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Discount Rate</w:t>
      </w:r>
    </w:p>
    <w:p w14:paraId="581D891C" w14:textId="5B6AB276" w:rsidR="003662EE" w:rsidRPr="003662EE" w:rsidRDefault="003662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costs and Quality-Adjusted Life Years (QALYs) are annually discounted. The </w:t>
      </w:r>
      <w:proofErr w:type="gramStart"/>
      <w:r>
        <w:rPr>
          <w:rFonts w:ascii="Times New Roman" w:hAnsi="Times New Roman" w:cs="Times New Roman"/>
        </w:rPr>
        <w:t>base-case</w:t>
      </w:r>
      <w:proofErr w:type="gramEnd"/>
      <w:r>
        <w:rPr>
          <w:rFonts w:ascii="Times New Roman" w:hAnsi="Times New Roman" w:cs="Times New Roman"/>
        </w:rPr>
        <w:t xml:space="preserve"> rate is 3%.</w:t>
      </w:r>
    </w:p>
    <w:p w14:paraId="2DACC8B3" w14:textId="0100058E" w:rsidR="00116771" w:rsidRDefault="00DF30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Costing Year</w:t>
      </w:r>
    </w:p>
    <w:p w14:paraId="57E9D810" w14:textId="2E230F11" w:rsidR="003662EE" w:rsidRPr="003662EE" w:rsidRDefault="003662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costing year used is the same as the </w:t>
      </w:r>
      <w:r w:rsidR="00565F31">
        <w:rPr>
          <w:rFonts w:ascii="Times New Roman" w:hAnsi="Times New Roman" w:cs="Times New Roman"/>
        </w:rPr>
        <w:t xml:space="preserve">one used in the </w:t>
      </w:r>
      <w:r w:rsidR="00565F31" w:rsidRPr="00565F31">
        <w:rPr>
          <w:rFonts w:ascii="Times New Roman" w:hAnsi="Times New Roman" w:cs="Times New Roman"/>
          <w:i/>
          <w:iCs/>
        </w:rPr>
        <w:t>Medications for Obesity Management: Effectiveness and Value</w:t>
      </w:r>
      <w:r w:rsidR="00565F31" w:rsidRPr="00565F31">
        <w:rPr>
          <w:rFonts w:ascii="Times New Roman" w:hAnsi="Times New Roman" w:cs="Times New Roman"/>
        </w:rPr>
        <w:t xml:space="preserve"> Final Evidence Report</w:t>
      </w:r>
      <w:r w:rsidR="00565F31">
        <w:rPr>
          <w:rFonts w:ascii="Times New Roman" w:hAnsi="Times New Roman" w:cs="Times New Roman"/>
        </w:rPr>
        <w:t>. It is not explicitly reported, but it appears to be 2022.</w:t>
      </w:r>
    </w:p>
    <w:p w14:paraId="08E878CB" w14:textId="36AB73C1" w:rsidR="00DF3029" w:rsidRDefault="00DF30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Study Design</w:t>
      </w:r>
    </w:p>
    <w:p w14:paraId="446D35C9" w14:textId="768A9E86" w:rsidR="00D06F9A" w:rsidRDefault="00D06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D06F9A">
        <w:rPr>
          <w:rFonts w:ascii="Times New Roman" w:hAnsi="Times New Roman" w:cs="Times New Roman"/>
        </w:rPr>
        <w:t>Markov state transition model</w:t>
      </w:r>
      <w:r>
        <w:rPr>
          <w:rFonts w:ascii="Times New Roman" w:hAnsi="Times New Roman" w:cs="Times New Roman"/>
        </w:rPr>
        <w:t xml:space="preserve"> used in the analysis is shown in Figure 4.1.</w:t>
      </w:r>
      <w:r w:rsidR="00F76B81">
        <w:rPr>
          <w:rFonts w:ascii="Times New Roman" w:hAnsi="Times New Roman" w:cs="Times New Roman"/>
        </w:rPr>
        <w:t xml:space="preserve"> </w:t>
      </w:r>
      <w:r w:rsidR="00F76B81" w:rsidRPr="00F76B81">
        <w:rPr>
          <w:rFonts w:ascii="Times New Roman" w:hAnsi="Times New Roman" w:cs="Times New Roman"/>
        </w:rPr>
        <w:t>The model cycle length was one year</w:t>
      </w:r>
      <w:r w:rsidR="00F76B81">
        <w:rPr>
          <w:rFonts w:ascii="Times New Roman" w:hAnsi="Times New Roman" w:cs="Times New Roman"/>
        </w:rPr>
        <w:t xml:space="preserve">; transition probabilities are time-dependent and functions of BMI and </w:t>
      </w:r>
      <w:r w:rsidR="00E80FBF" w:rsidRPr="00E80FBF">
        <w:rPr>
          <w:rFonts w:ascii="Times New Roman" w:hAnsi="Times New Roman" w:cs="Times New Roman"/>
        </w:rPr>
        <w:t>Glycated hemoglobin percentage</w:t>
      </w:r>
      <w:r w:rsidR="00E80FBF">
        <w:rPr>
          <w:rFonts w:ascii="Times New Roman" w:hAnsi="Times New Roman" w:cs="Times New Roman"/>
        </w:rPr>
        <w:t xml:space="preserve"> (HbA1C) among other variables.</w:t>
      </w:r>
      <w:r w:rsidR="00D91B44">
        <w:rPr>
          <w:rFonts w:ascii="Times New Roman" w:hAnsi="Times New Roman" w:cs="Times New Roman"/>
        </w:rPr>
        <w:t xml:space="preserve"> Only one CVD event (either MI, Stroke or HF) can occur </w:t>
      </w:r>
      <w:r w:rsidR="006B3622">
        <w:rPr>
          <w:rFonts w:ascii="Times New Roman" w:hAnsi="Times New Roman" w:cs="Times New Roman"/>
        </w:rPr>
        <w:t>in</w:t>
      </w:r>
      <w:r w:rsidR="00D91B44">
        <w:rPr>
          <w:rFonts w:ascii="Times New Roman" w:hAnsi="Times New Roman" w:cs="Times New Roman"/>
        </w:rPr>
        <w:t xml:space="preserve"> a</w:t>
      </w:r>
      <w:r w:rsidR="006B3622">
        <w:rPr>
          <w:rFonts w:ascii="Times New Roman" w:hAnsi="Times New Roman" w:cs="Times New Roman"/>
        </w:rPr>
        <w:t>ny</w:t>
      </w:r>
      <w:r w:rsidR="00D91B44">
        <w:rPr>
          <w:rFonts w:ascii="Times New Roman" w:hAnsi="Times New Roman" w:cs="Times New Roman"/>
        </w:rPr>
        <w:t xml:space="preserve"> given</w:t>
      </w:r>
      <w:r w:rsidR="006B3622">
        <w:rPr>
          <w:rFonts w:ascii="Times New Roman" w:hAnsi="Times New Roman" w:cs="Times New Roman"/>
        </w:rPr>
        <w:t xml:space="preserve"> cycle – this is the main difference between this project and the original ICER report. </w:t>
      </w:r>
      <w:r w:rsidR="00DE5270">
        <w:rPr>
          <w:rFonts w:ascii="Times New Roman" w:hAnsi="Times New Roman" w:cs="Times New Roman"/>
        </w:rPr>
        <w:t xml:space="preserve">Different interventions affect BMI and HbA1C, which in turn affect </w:t>
      </w:r>
      <w:r w:rsidR="00E345F5" w:rsidRPr="00E345F5">
        <w:rPr>
          <w:rFonts w:ascii="Times New Roman" w:hAnsi="Times New Roman" w:cs="Times New Roman"/>
        </w:rPr>
        <w:t>rates of CVD and Diabetes</w:t>
      </w:r>
      <w:r w:rsidR="00E345F5">
        <w:rPr>
          <w:rFonts w:ascii="Times New Roman" w:hAnsi="Times New Roman" w:cs="Times New Roman"/>
        </w:rPr>
        <w:t>.</w:t>
      </w:r>
    </w:p>
    <w:p w14:paraId="1525495F" w14:textId="0DE86555" w:rsidR="00D06F9A" w:rsidRDefault="00D06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842853" wp14:editId="6343D0B8">
            <wp:extent cx="5943600" cy="4189730"/>
            <wp:effectExtent l="0" t="0" r="0" b="1270"/>
            <wp:docPr id="1401123840" name="Picture 1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23840" name="Picture 1" descr="A diagram of a mode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7965" w14:textId="469B0720" w:rsidR="00DF3029" w:rsidRDefault="00E1386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Sources</w:t>
      </w:r>
    </w:p>
    <w:p w14:paraId="1D6FE820" w14:textId="7CAFA201" w:rsidR="00D10A14" w:rsidRPr="004A672F" w:rsidRDefault="00D65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data source is the </w:t>
      </w:r>
      <w:hyperlink r:id="rId7" w:history="1">
        <w:r w:rsidR="000A6AAB" w:rsidRPr="000A6AAB">
          <w:rPr>
            <w:rStyle w:val="Hyperlink"/>
            <w:rFonts w:ascii="Times New Roman" w:hAnsi="Times New Roman" w:cs="Times New Roman"/>
            <w:i/>
            <w:iCs/>
          </w:rPr>
          <w:t>Medications for Obesity Management: Effectiveness and Value</w:t>
        </w:r>
        <w:r w:rsidR="000A6AAB" w:rsidRPr="000A6AAB">
          <w:rPr>
            <w:rStyle w:val="Hyperlink"/>
            <w:rFonts w:ascii="Times New Roman" w:hAnsi="Times New Roman" w:cs="Times New Roman"/>
          </w:rPr>
          <w:t xml:space="preserve"> Final Evidence Report</w:t>
        </w:r>
      </w:hyperlink>
      <w:r w:rsidR="004A672F">
        <w:rPr>
          <w:rFonts w:ascii="Times New Roman" w:hAnsi="Times New Roman" w:cs="Times New Roman"/>
          <w:i/>
          <w:iCs/>
        </w:rPr>
        <w:t xml:space="preserve">. </w:t>
      </w:r>
      <w:r w:rsidR="004A672F">
        <w:rPr>
          <w:rFonts w:ascii="Times New Roman" w:hAnsi="Times New Roman" w:cs="Times New Roman"/>
        </w:rPr>
        <w:t>References listed within the report are sometimes used to obtain more information about parameter ranges for sensitivity analysis. 2018 US Life Tables are used for all-cause mortality.</w:t>
      </w:r>
    </w:p>
    <w:p w14:paraId="73219ABB" w14:textId="1F1E7FC5" w:rsidR="002D17DF" w:rsidRDefault="002D17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Outcome Measures</w:t>
      </w:r>
    </w:p>
    <w:p w14:paraId="31D9F563" w14:textId="0E8B71C0" w:rsidR="008A67A5" w:rsidRPr="008A67A5" w:rsidRDefault="008A6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Utility is measured in QALYs, costs are measured in US dollars. Discounted ICER is the primary endpoint. </w:t>
      </w:r>
    </w:p>
    <w:p w14:paraId="3F942A8E" w14:textId="77777777" w:rsidR="002D17DF" w:rsidRDefault="002D17DF" w:rsidP="002D17DF">
      <w:pPr>
        <w:rPr>
          <w:rFonts w:ascii="Times New Roman" w:hAnsi="Times New Roman" w:cs="Times New Roman"/>
          <w:b/>
          <w:bCs/>
        </w:rPr>
      </w:pPr>
      <w:r w:rsidRPr="002D17DF">
        <w:rPr>
          <w:rFonts w:ascii="Times New Roman" w:hAnsi="Times New Roman" w:cs="Times New Roman"/>
          <w:b/>
          <w:bCs/>
        </w:rPr>
        <w:t>Results of base-case analysis</w:t>
      </w:r>
    </w:p>
    <w:p w14:paraId="7994D307" w14:textId="2EC2B5E9" w:rsidR="001C3539" w:rsidRPr="001C3539" w:rsidRDefault="001C3539" w:rsidP="002D17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4.6 shows the ICERs for pairwise treatment comparisons</w:t>
      </w:r>
      <w:r w:rsidR="007A43E7">
        <w:rPr>
          <w:rFonts w:ascii="Times New Roman" w:hAnsi="Times New Roman" w:cs="Times New Roman"/>
        </w:rPr>
        <w:t>.</w:t>
      </w:r>
    </w:p>
    <w:p w14:paraId="4EA66819" w14:textId="2D507445" w:rsidR="004A672F" w:rsidRDefault="00B104EA" w:rsidP="002D17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28946E6" wp14:editId="2ADC71D7">
            <wp:extent cx="5943600" cy="1808480"/>
            <wp:effectExtent l="0" t="0" r="0" b="1270"/>
            <wp:docPr id="210558806" name="Picture 2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8806" name="Picture 2" descr="A white sheet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5009" w14:textId="3452DA99" w:rsidR="007A43E7" w:rsidRDefault="007A43E7" w:rsidP="002D17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1C7AB9">
        <w:rPr>
          <w:rFonts w:ascii="Times New Roman" w:hAnsi="Times New Roman" w:cs="Times New Roman"/>
        </w:rPr>
        <w:t xml:space="preserve">Extra 1 shows the full incremental analysis: </w:t>
      </w:r>
      <w:r w:rsidR="007F1229">
        <w:rPr>
          <w:rFonts w:ascii="Times New Roman" w:hAnsi="Times New Roman" w:cs="Times New Roman"/>
        </w:rPr>
        <w:t xml:space="preserve">LSM is the preferred treatment at WTP &lt; </w:t>
      </w:r>
      <w:r w:rsidR="003F6CCF">
        <w:rPr>
          <w:rFonts w:ascii="Times New Roman" w:hAnsi="Times New Roman" w:cs="Times New Roman"/>
        </w:rPr>
        <w:t>~$34</w:t>
      </w:r>
      <w:r w:rsidR="000664C2">
        <w:rPr>
          <w:rFonts w:ascii="Times New Roman" w:hAnsi="Times New Roman" w:cs="Times New Roman"/>
        </w:rPr>
        <w:t>,000</w:t>
      </w:r>
      <w:r w:rsidR="003F6CCF">
        <w:rPr>
          <w:rFonts w:ascii="Times New Roman" w:hAnsi="Times New Roman" w:cs="Times New Roman"/>
        </w:rPr>
        <w:t xml:space="preserve">/QALY, </w:t>
      </w:r>
      <w:r w:rsidR="007F1229">
        <w:rPr>
          <w:rFonts w:ascii="Times New Roman" w:hAnsi="Times New Roman" w:cs="Times New Roman"/>
        </w:rPr>
        <w:t>P/T is the preferred treatment</w:t>
      </w:r>
      <w:r w:rsidR="003F6CCF">
        <w:rPr>
          <w:rFonts w:ascii="Times New Roman" w:hAnsi="Times New Roman" w:cs="Times New Roman"/>
        </w:rPr>
        <w:t xml:space="preserve"> at WTPs between ~$34</w:t>
      </w:r>
      <w:r w:rsidR="000664C2">
        <w:rPr>
          <w:rFonts w:ascii="Times New Roman" w:hAnsi="Times New Roman" w:cs="Times New Roman"/>
        </w:rPr>
        <w:t>,000</w:t>
      </w:r>
      <w:r w:rsidR="003F6CCF">
        <w:rPr>
          <w:rFonts w:ascii="Times New Roman" w:hAnsi="Times New Roman" w:cs="Times New Roman"/>
        </w:rPr>
        <w:t>/QALY and ~</w:t>
      </w:r>
      <w:r w:rsidR="000664C2">
        <w:rPr>
          <w:rFonts w:ascii="Times New Roman" w:hAnsi="Times New Roman" w:cs="Times New Roman"/>
        </w:rPr>
        <w:t>$</w:t>
      </w:r>
      <w:r w:rsidR="003F6CCF">
        <w:rPr>
          <w:rFonts w:ascii="Times New Roman" w:hAnsi="Times New Roman" w:cs="Times New Roman"/>
        </w:rPr>
        <w:t>309</w:t>
      </w:r>
      <w:r w:rsidR="000664C2">
        <w:rPr>
          <w:rFonts w:ascii="Times New Roman" w:hAnsi="Times New Roman" w:cs="Times New Roman"/>
        </w:rPr>
        <w:t>,000/QALY, S</w:t>
      </w:r>
      <w:r w:rsidR="00DE14BB">
        <w:rPr>
          <w:rFonts w:ascii="Times New Roman" w:hAnsi="Times New Roman" w:cs="Times New Roman"/>
        </w:rPr>
        <w:t>EM is the preferred treatment at WTP &gt; ~$309,000/QALY.</w:t>
      </w:r>
      <w:r w:rsidR="00F569EC">
        <w:rPr>
          <w:rFonts w:ascii="Times New Roman" w:hAnsi="Times New Roman" w:cs="Times New Roman"/>
        </w:rPr>
        <w:t xml:space="preserve"> At </w:t>
      </w:r>
      <w:proofErr w:type="gramStart"/>
      <w:r w:rsidR="00F569EC">
        <w:rPr>
          <w:rFonts w:ascii="Times New Roman" w:hAnsi="Times New Roman" w:cs="Times New Roman"/>
        </w:rPr>
        <w:t>most</w:t>
      </w:r>
      <w:proofErr w:type="gramEnd"/>
      <w:r w:rsidR="00F569EC">
        <w:rPr>
          <w:rFonts w:ascii="Times New Roman" w:hAnsi="Times New Roman" w:cs="Times New Roman"/>
        </w:rPr>
        <w:t xml:space="preserve"> </w:t>
      </w:r>
      <w:proofErr w:type="gramStart"/>
      <w:r w:rsidR="00F569EC">
        <w:rPr>
          <w:rFonts w:ascii="Times New Roman" w:hAnsi="Times New Roman" w:cs="Times New Roman"/>
        </w:rPr>
        <w:t>widely-used</w:t>
      </w:r>
      <w:proofErr w:type="gramEnd"/>
      <w:r w:rsidR="00F569EC">
        <w:rPr>
          <w:rFonts w:ascii="Times New Roman" w:hAnsi="Times New Roman" w:cs="Times New Roman"/>
        </w:rPr>
        <w:t xml:space="preserve"> WTP, P/T should be chosen.</w:t>
      </w:r>
    </w:p>
    <w:p w14:paraId="2A0F156A" w14:textId="09AA3984" w:rsidR="001C7AB9" w:rsidRPr="007A43E7" w:rsidRDefault="001C7AB9" w:rsidP="002D17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6D2A78" wp14:editId="4A820CC1">
            <wp:extent cx="5943600" cy="757555"/>
            <wp:effectExtent l="0" t="0" r="0" b="4445"/>
            <wp:docPr id="16054181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18125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D952" w14:textId="6605B740" w:rsidR="002D17DF" w:rsidRDefault="00350541">
      <w:pPr>
        <w:rPr>
          <w:rFonts w:ascii="Times New Roman" w:hAnsi="Times New Roman" w:cs="Times New Roman"/>
          <w:b/>
          <w:bCs/>
        </w:rPr>
      </w:pPr>
      <w:r w:rsidRPr="00350541">
        <w:rPr>
          <w:rFonts w:ascii="Times New Roman" w:hAnsi="Times New Roman" w:cs="Times New Roman"/>
          <w:b/>
          <w:bCs/>
        </w:rPr>
        <w:t>Results of uncertainty analysis</w:t>
      </w:r>
    </w:p>
    <w:p w14:paraId="29529C30" w14:textId="0D5D1A57" w:rsidR="00F569EC" w:rsidRDefault="00540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One-way sensitivity analysis is performed in Excel, and Tornado diagram are included there for each pairwise comparison with lifestyle modification alone. Generally, the </w:t>
      </w:r>
      <w:proofErr w:type="spellStart"/>
      <w:r>
        <w:rPr>
          <w:rFonts w:ascii="Times New Roman" w:hAnsi="Times New Roman" w:cs="Times New Roman"/>
        </w:rPr>
        <w:t>disutilities</w:t>
      </w:r>
      <w:proofErr w:type="spellEnd"/>
      <w:r>
        <w:rPr>
          <w:rFonts w:ascii="Times New Roman" w:hAnsi="Times New Roman" w:cs="Times New Roman"/>
        </w:rPr>
        <w:t xml:space="preserve"> associated with a </w:t>
      </w:r>
      <w:r w:rsidR="00BB0315">
        <w:rPr>
          <w:rFonts w:ascii="Times New Roman" w:hAnsi="Times New Roman" w:cs="Times New Roman"/>
        </w:rPr>
        <w:t>one-point</w:t>
      </w:r>
      <w:r>
        <w:rPr>
          <w:rFonts w:ascii="Times New Roman" w:hAnsi="Times New Roman" w:cs="Times New Roman"/>
        </w:rPr>
        <w:t xml:space="preserve"> </w:t>
      </w:r>
      <w:r w:rsidR="00BB0315">
        <w:rPr>
          <w:rFonts w:ascii="Times New Roman" w:hAnsi="Times New Roman" w:cs="Times New Roman"/>
        </w:rPr>
        <w:t>increase in BMI and one year increase in age respectively are the most influential parameters.</w:t>
      </w:r>
    </w:p>
    <w:p w14:paraId="67F39115" w14:textId="11748562" w:rsidR="00BB0315" w:rsidRDefault="00E07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Probabilistic sensitivity analysis is performed in R by associating a statistical distribution </w:t>
      </w:r>
      <w:r w:rsidR="00E54038">
        <w:rPr>
          <w:rFonts w:ascii="Times New Roman" w:hAnsi="Times New Roman" w:cs="Times New Roman"/>
        </w:rPr>
        <w:t xml:space="preserve">to approximately 60 model parameters. Distributions are chosen to match 95% confidence intervals when those are readily available in the original Report </w:t>
      </w:r>
      <w:r w:rsidR="00235A8A">
        <w:rPr>
          <w:rFonts w:ascii="Times New Roman" w:hAnsi="Times New Roman" w:cs="Times New Roman"/>
        </w:rPr>
        <w:t xml:space="preserve">and to have a standard deviation that is 10% of the mean when no data is easily available for the natural uncertainty/variation in </w:t>
      </w:r>
      <w:r w:rsidR="006510CE">
        <w:rPr>
          <w:rFonts w:ascii="Times New Roman" w:hAnsi="Times New Roman" w:cs="Times New Roman"/>
        </w:rPr>
        <w:t>the parameter.</w:t>
      </w:r>
    </w:p>
    <w:p w14:paraId="7D30D49A" w14:textId="6F640255" w:rsidR="006510CE" w:rsidRDefault="006510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1,000 draws are generated – Figures E4 display the results with scatterplots and acceptability curves.</w:t>
      </w:r>
      <w:r w:rsidRPr="006510CE">
        <w:rPr>
          <w:rFonts w:ascii="Times New Roman" w:hAnsi="Times New Roman" w:cs="Times New Roman"/>
          <w:noProof/>
        </w:rPr>
        <w:t xml:space="preserve"> </w:t>
      </w:r>
      <w:r w:rsidR="00065E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01468D" wp14:editId="0A81C419">
            <wp:extent cx="5943600" cy="3566160"/>
            <wp:effectExtent l="0" t="0" r="0" b="0"/>
            <wp:docPr id="65874909" name="Picture 7" descr="A graph of a blue d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4909" name="Picture 7" descr="A graph of a blue dot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E35">
        <w:rPr>
          <w:rFonts w:ascii="Times New Roman" w:hAnsi="Times New Roman" w:cs="Times New Roman"/>
          <w:noProof/>
        </w:rPr>
        <w:drawing>
          <wp:inline distT="0" distB="0" distL="0" distR="0" wp14:anchorId="335C9BDE" wp14:editId="6E094730">
            <wp:extent cx="5943600" cy="3566160"/>
            <wp:effectExtent l="0" t="0" r="0" b="0"/>
            <wp:docPr id="1145976388" name="Picture 5" descr="A graph of a blue d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76388" name="Picture 5" descr="A graph of a blue dot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3D01" w14:textId="680D5919" w:rsidR="006510CE" w:rsidRPr="005408D4" w:rsidRDefault="00277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D2598D" wp14:editId="6B5ED734">
            <wp:extent cx="5943600" cy="3566160"/>
            <wp:effectExtent l="0" t="0" r="0" b="0"/>
            <wp:docPr id="1487830607" name="Picture 6" descr="A graph of a blue d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30607" name="Picture 6" descr="A graph of a blue dot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59A">
        <w:rPr>
          <w:rFonts w:ascii="Times New Roman" w:hAnsi="Times New Roman" w:cs="Times New Roman"/>
          <w:noProof/>
        </w:rPr>
        <w:drawing>
          <wp:inline distT="0" distB="0" distL="0" distR="0" wp14:anchorId="631FFEB4" wp14:editId="45B1D48A">
            <wp:extent cx="5943600" cy="3566160"/>
            <wp:effectExtent l="0" t="0" r="0" b="0"/>
            <wp:docPr id="1468472178" name="Picture 8" descr="A graph of a graph with a blue d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72178" name="Picture 8" descr="A graph of a graph with a blue dot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CF62" w14:textId="11045C0C" w:rsidR="00350541" w:rsidRDefault="00350541">
      <w:pPr>
        <w:rPr>
          <w:rFonts w:ascii="Times New Roman" w:hAnsi="Times New Roman" w:cs="Times New Roman"/>
          <w:b/>
          <w:bCs/>
        </w:rPr>
      </w:pPr>
      <w:r w:rsidRPr="00350541">
        <w:rPr>
          <w:rFonts w:ascii="Times New Roman" w:hAnsi="Times New Roman" w:cs="Times New Roman"/>
          <w:b/>
          <w:bCs/>
        </w:rPr>
        <w:t>Limitations</w:t>
      </w:r>
    </w:p>
    <w:p w14:paraId="4556678B" w14:textId="06506D86" w:rsidR="003D7337" w:rsidRPr="003D7337" w:rsidRDefault="003D73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CVD rates are likely underestimated to some extent due to the assumption that only one CVD can happen during any given cycle.</w:t>
      </w:r>
    </w:p>
    <w:p w14:paraId="6ABBF777" w14:textId="77777777" w:rsidR="00F02D63" w:rsidRDefault="00986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Obesity is linked to</w:t>
      </w:r>
      <w:r w:rsidR="009637DD">
        <w:rPr>
          <w:rFonts w:ascii="Times New Roman" w:hAnsi="Times New Roman" w:cs="Times New Roman"/>
        </w:rPr>
        <w:t xml:space="preserve"> conditions</w:t>
      </w:r>
      <w:r w:rsidR="003D7337">
        <w:rPr>
          <w:rFonts w:ascii="Times New Roman" w:hAnsi="Times New Roman" w:cs="Times New Roman"/>
        </w:rPr>
        <w:t xml:space="preserve"> </w:t>
      </w:r>
      <w:r w:rsidR="009637DD">
        <w:rPr>
          <w:rFonts w:ascii="Times New Roman" w:hAnsi="Times New Roman" w:cs="Times New Roman"/>
        </w:rPr>
        <w:t xml:space="preserve">beyond CVDs and diabetes. </w:t>
      </w:r>
      <w:r w:rsidR="00F02D63">
        <w:rPr>
          <w:rFonts w:ascii="Times New Roman" w:hAnsi="Times New Roman" w:cs="Times New Roman"/>
        </w:rPr>
        <w:t>This analysis likely underestimates the utility gain due to the interventions’ effects on rates for these other conditions (which are not accounted for by the model).</w:t>
      </w:r>
    </w:p>
    <w:p w14:paraId="3DD5BAC8" w14:textId="38870AC7" w:rsidR="00986061" w:rsidRPr="00986061" w:rsidRDefault="00546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Framingham </w:t>
      </w:r>
      <w:r w:rsidRPr="00546360">
        <w:rPr>
          <w:rFonts w:ascii="Times New Roman" w:hAnsi="Times New Roman" w:cs="Times New Roman"/>
        </w:rPr>
        <w:t>Risk Calculation Equation</w:t>
      </w:r>
      <w:r w:rsidR="009637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used to calculated CVD risk with the best estimates for the regression coefficient. These coefficients come with an associated uncertainty, which is ignored in this project.</w:t>
      </w:r>
    </w:p>
    <w:p w14:paraId="5CAB6F88" w14:textId="661E170A" w:rsidR="00350541" w:rsidRDefault="006D6DC0">
      <w:pPr>
        <w:rPr>
          <w:rFonts w:ascii="Times New Roman" w:hAnsi="Times New Roman" w:cs="Times New Roman"/>
          <w:b/>
          <w:bCs/>
        </w:rPr>
      </w:pPr>
      <w:r w:rsidRPr="006D6DC0">
        <w:rPr>
          <w:rFonts w:ascii="Times New Roman" w:hAnsi="Times New Roman" w:cs="Times New Roman"/>
          <w:b/>
          <w:bCs/>
        </w:rPr>
        <w:t>Conclusions</w:t>
      </w:r>
    </w:p>
    <w:p w14:paraId="5B29CD03" w14:textId="63248444" w:rsidR="00546360" w:rsidRDefault="009F1639">
      <w:pPr>
        <w:rPr>
          <w:rFonts w:ascii="Times New Roman" w:hAnsi="Times New Roman" w:cs="Times New Roman"/>
          <w:b/>
          <w:bCs/>
        </w:rPr>
      </w:pPr>
      <w:r w:rsidRPr="00720ECA">
        <w:rPr>
          <w:rFonts w:ascii="Times New Roman" w:hAnsi="Times New Roman" w:cs="Times New Roman"/>
        </w:rPr>
        <w:t>Phentermine/topiramate (P/T)</w:t>
      </w:r>
      <w:r>
        <w:rPr>
          <w:rFonts w:ascii="Times New Roman" w:hAnsi="Times New Roman" w:cs="Times New Roman"/>
        </w:rPr>
        <w:t xml:space="preserve"> is highly cost effective for obesity management because it offers low QALY</w:t>
      </w:r>
      <w:r w:rsidR="003B5879">
        <w:rPr>
          <w:rFonts w:ascii="Times New Roman" w:hAnsi="Times New Roman" w:cs="Times New Roman"/>
        </w:rPr>
        <w:t xml:space="preserve"> gains at a very low cost. SEM offers the highest QALY gain, however it was not cost-effective in the </w:t>
      </w:r>
      <w:proofErr w:type="gramStart"/>
      <w:r w:rsidR="003B5879">
        <w:rPr>
          <w:rFonts w:ascii="Times New Roman" w:hAnsi="Times New Roman" w:cs="Times New Roman"/>
        </w:rPr>
        <w:t>Base-case</w:t>
      </w:r>
      <w:proofErr w:type="gramEnd"/>
      <w:r w:rsidR="003B5879">
        <w:rPr>
          <w:rFonts w:ascii="Times New Roman" w:hAnsi="Times New Roman" w:cs="Times New Roman"/>
        </w:rPr>
        <w:t xml:space="preserve"> at the price used in the Report.</w:t>
      </w:r>
    </w:p>
    <w:p w14:paraId="7728A4BB" w14:textId="37A29640" w:rsidR="006D6DC0" w:rsidRDefault="006D6DC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Discussion</w:t>
      </w:r>
    </w:p>
    <w:p w14:paraId="27F66257" w14:textId="720F3361" w:rsidR="003B5879" w:rsidRPr="003B5879" w:rsidRDefault="003B58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project’s model captures the </w:t>
      </w:r>
      <w:r w:rsidR="00D31F0A">
        <w:rPr>
          <w:rFonts w:ascii="Times New Roman" w:hAnsi="Times New Roman" w:cs="Times New Roman"/>
        </w:rPr>
        <w:t xml:space="preserve">essential elements of the original model. Results agree on a qualitative basis. Probabilistic Sensitivity Analysis results differ more due to a lack of </w:t>
      </w:r>
      <w:r w:rsidR="00F766AB">
        <w:rPr>
          <w:rFonts w:ascii="Times New Roman" w:hAnsi="Times New Roman" w:cs="Times New Roman"/>
        </w:rPr>
        <w:t>information about the exact distributional assumptions and confidence intervals in the original model, hence a difficulty replicating the original model values. Figure</w:t>
      </w:r>
      <w:r w:rsidR="00492E41">
        <w:rPr>
          <w:rFonts w:ascii="Times New Roman" w:hAnsi="Times New Roman" w:cs="Times New Roman"/>
        </w:rPr>
        <w:t>s</w:t>
      </w:r>
      <w:r w:rsidR="00F766AB">
        <w:rPr>
          <w:rFonts w:ascii="Times New Roman" w:hAnsi="Times New Roman" w:cs="Times New Roman"/>
        </w:rPr>
        <w:t xml:space="preserve"> </w:t>
      </w:r>
      <w:r w:rsidR="00492E41">
        <w:rPr>
          <w:rFonts w:ascii="Times New Roman" w:hAnsi="Times New Roman" w:cs="Times New Roman"/>
        </w:rPr>
        <w:t>E</w:t>
      </w:r>
      <w:r w:rsidR="00F766AB">
        <w:rPr>
          <w:rFonts w:ascii="Times New Roman" w:hAnsi="Times New Roman" w:cs="Times New Roman"/>
        </w:rPr>
        <w:t>1 show the general agreement between</w:t>
      </w:r>
      <w:r w:rsidR="00492E41">
        <w:rPr>
          <w:rFonts w:ascii="Times New Roman" w:hAnsi="Times New Roman" w:cs="Times New Roman"/>
        </w:rPr>
        <w:t xml:space="preserve"> the models in the </w:t>
      </w:r>
      <w:proofErr w:type="gramStart"/>
      <w:r w:rsidR="00492E41">
        <w:rPr>
          <w:rFonts w:ascii="Times New Roman" w:hAnsi="Times New Roman" w:cs="Times New Roman"/>
        </w:rPr>
        <w:t>base-case</w:t>
      </w:r>
      <w:proofErr w:type="gramEnd"/>
      <w:r w:rsidR="00492E41">
        <w:rPr>
          <w:rFonts w:ascii="Times New Roman" w:hAnsi="Times New Roman" w:cs="Times New Roman"/>
        </w:rPr>
        <w:t xml:space="preserve">, which is an encouraging sign this may be a useful </w:t>
      </w:r>
      <w:r w:rsidR="00AD32BD">
        <w:rPr>
          <w:rFonts w:ascii="Times New Roman" w:hAnsi="Times New Roman" w:cs="Times New Roman"/>
        </w:rPr>
        <w:t>working model as a starting point for further analysis.</w:t>
      </w:r>
    </w:p>
    <w:p w14:paraId="7D6D8D98" w14:textId="0C74CA7A" w:rsidR="00546360" w:rsidRPr="003F19D4" w:rsidRDefault="005463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4E5A1D4" wp14:editId="331A21BE">
            <wp:extent cx="5943600" cy="2682240"/>
            <wp:effectExtent l="0" t="0" r="0" b="3810"/>
            <wp:docPr id="754664935" name="Picture 9" descr="A graph with numbers and a number of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64935" name="Picture 9" descr="A graph with numbers and a number of points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7886104" wp14:editId="378C3B48">
            <wp:extent cx="5943600" cy="3168650"/>
            <wp:effectExtent l="0" t="0" r="0" b="0"/>
            <wp:docPr id="1832005880" name="Picture 10" descr="A graph with blue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05880" name="Picture 10" descr="A graph with blue dots and number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360" w:rsidRPr="003F1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D3284"/>
    <w:multiLevelType w:val="hybridMultilevel"/>
    <w:tmpl w:val="4E384C84"/>
    <w:lvl w:ilvl="0" w:tplc="C284C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FCC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DEF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50F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3A4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DCD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883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1607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168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09465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B9"/>
    <w:rsid w:val="000310CF"/>
    <w:rsid w:val="00065E35"/>
    <w:rsid w:val="000664C2"/>
    <w:rsid w:val="00076D25"/>
    <w:rsid w:val="000A6AAB"/>
    <w:rsid w:val="00116771"/>
    <w:rsid w:val="001C3539"/>
    <w:rsid w:val="001C7AB9"/>
    <w:rsid w:val="00235A8A"/>
    <w:rsid w:val="00241432"/>
    <w:rsid w:val="0027766F"/>
    <w:rsid w:val="002D17DF"/>
    <w:rsid w:val="00350541"/>
    <w:rsid w:val="00362236"/>
    <w:rsid w:val="003662EE"/>
    <w:rsid w:val="003672FF"/>
    <w:rsid w:val="00387E93"/>
    <w:rsid w:val="003B5879"/>
    <w:rsid w:val="003D7337"/>
    <w:rsid w:val="003F19D4"/>
    <w:rsid w:val="003F6CCF"/>
    <w:rsid w:val="00492E41"/>
    <w:rsid w:val="004A672F"/>
    <w:rsid w:val="005408D4"/>
    <w:rsid w:val="00546360"/>
    <w:rsid w:val="00565F31"/>
    <w:rsid w:val="00572EB9"/>
    <w:rsid w:val="006510CE"/>
    <w:rsid w:val="006B3622"/>
    <w:rsid w:val="006B3DA3"/>
    <w:rsid w:val="006D6DC0"/>
    <w:rsid w:val="00720ECA"/>
    <w:rsid w:val="007A43E7"/>
    <w:rsid w:val="007B718B"/>
    <w:rsid w:val="007F1229"/>
    <w:rsid w:val="008064ED"/>
    <w:rsid w:val="008547C8"/>
    <w:rsid w:val="008A67A5"/>
    <w:rsid w:val="009637DD"/>
    <w:rsid w:val="00986061"/>
    <w:rsid w:val="009F1639"/>
    <w:rsid w:val="00A718CA"/>
    <w:rsid w:val="00AD32BD"/>
    <w:rsid w:val="00B104EA"/>
    <w:rsid w:val="00B407C6"/>
    <w:rsid w:val="00B5359A"/>
    <w:rsid w:val="00B77489"/>
    <w:rsid w:val="00BB0315"/>
    <w:rsid w:val="00CD4CDC"/>
    <w:rsid w:val="00D06F9A"/>
    <w:rsid w:val="00D10A14"/>
    <w:rsid w:val="00D31F0A"/>
    <w:rsid w:val="00D657DC"/>
    <w:rsid w:val="00D91B44"/>
    <w:rsid w:val="00DE14BB"/>
    <w:rsid w:val="00DE5270"/>
    <w:rsid w:val="00DF3029"/>
    <w:rsid w:val="00E07951"/>
    <w:rsid w:val="00E1386F"/>
    <w:rsid w:val="00E345F5"/>
    <w:rsid w:val="00E54038"/>
    <w:rsid w:val="00E80FBF"/>
    <w:rsid w:val="00F02D63"/>
    <w:rsid w:val="00F569EC"/>
    <w:rsid w:val="00F766AB"/>
    <w:rsid w:val="00F76B81"/>
    <w:rsid w:val="00FB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E1A7"/>
  <w15:chartTrackingRefBased/>
  <w15:docId w15:val="{CAE4519D-4B6C-4E6D-9398-11465002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E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19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4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0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40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3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nam02.safelinks.protection.outlook.com/?url=https%3A%2F%2Ficer.org%2Fwp-content%2Fuploads%2F2022%2F03%2FICER_Obesity_Final_Evidence_Report_and_Meeting_Summary_102022.pdf&amp;data=05%7C02%7Capignat1%40jh.edu%7C892470f4f1ff401c442408dd12364560%7C9fa4f438b1e6473b803f86f8aedf0dec%7C0%7C0%7C638686746497896590%7CUnknown%7CTWFpbGZsb3d8eyJFbXB0eU1hcGkiOnRydWUsIlYiOiIwLjAuMDAwMCIsIlAiOiJXaW4zMiIsIkFOIjoiTWFpbCIsIldUIjoyfQ%3D%3D%7C0%7C%7C%7C&amp;sdata=rzWmyOu4dVKvOUH6Mir4sNyIpKjyv6b7qQQZAlGiAHM%3D&amp;reserved=0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alepigna12/eeii_icer_projec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Pignatelli</dc:creator>
  <cp:keywords/>
  <dc:description/>
  <cp:lastModifiedBy>Alessio Pignatelli</cp:lastModifiedBy>
  <cp:revision>63</cp:revision>
  <dcterms:created xsi:type="dcterms:W3CDTF">2024-12-18T21:10:00Z</dcterms:created>
  <dcterms:modified xsi:type="dcterms:W3CDTF">2024-12-18T23:23:00Z</dcterms:modified>
</cp:coreProperties>
</file>