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2551"/>
      </w:tblGrid>
      <w:tr w:rsidR="001F1105" w:rsidRPr="001F1105" w:rsidTr="005B6EA2">
        <w:trPr>
          <w:trHeight w:val="540"/>
        </w:trPr>
        <w:tc>
          <w:tcPr>
            <w:tcW w:w="8755" w:type="dxa"/>
            <w:gridSpan w:val="2"/>
          </w:tcPr>
          <w:p w:rsidR="001F1105" w:rsidRPr="001F1105" w:rsidRDefault="001F1105" w:rsidP="001F1105">
            <w:pPr>
              <w:rPr>
                <w:b/>
                <w:bCs/>
              </w:rPr>
            </w:pPr>
            <w:bookmarkStart w:id="0" w:name="_GoBack" w:colFirst="0" w:colLast="2"/>
            <w:r w:rsidRPr="001F1105">
              <w:rPr>
                <w:b/>
                <w:bCs/>
              </w:rPr>
              <w:t>Отчет по обращениям граждан за I</w:t>
            </w:r>
            <w:r>
              <w:rPr>
                <w:b/>
                <w:bCs/>
                <w:lang w:val="en-US"/>
              </w:rPr>
              <w:t>I</w:t>
            </w:r>
            <w:r w:rsidRPr="001F1105">
              <w:rPr>
                <w:b/>
                <w:bCs/>
              </w:rPr>
              <w:t xml:space="preserve"> квартал 2014 года</w:t>
            </w:r>
          </w:p>
        </w:tc>
      </w:tr>
      <w:tr w:rsidR="001F1105" w:rsidRPr="001F1105" w:rsidTr="001F1105">
        <w:trPr>
          <w:trHeight w:val="540"/>
        </w:trPr>
        <w:tc>
          <w:tcPr>
            <w:tcW w:w="6204" w:type="dxa"/>
            <w:hideMark/>
          </w:tcPr>
          <w:p w:rsidR="001F1105" w:rsidRPr="001F1105" w:rsidRDefault="001F1105" w:rsidP="001F1105">
            <w:pPr>
              <w:rPr>
                <w:b/>
                <w:bCs/>
              </w:rPr>
            </w:pPr>
            <w:r w:rsidRPr="001F1105">
              <w:rPr>
                <w:b/>
                <w:bCs/>
              </w:rPr>
              <w:t>Всего: обращений/вопросов</w:t>
            </w:r>
          </w:p>
          <w:p w:rsidR="001F1105" w:rsidRPr="001F1105" w:rsidRDefault="001F1105">
            <w:r w:rsidRPr="001F1105">
              <w:t> 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pPr>
              <w:rPr>
                <w:b/>
                <w:bCs/>
              </w:rPr>
            </w:pPr>
            <w:r w:rsidRPr="001F1105">
              <w:rPr>
                <w:b/>
                <w:bCs/>
              </w:rPr>
              <w:t>866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hideMark/>
          </w:tcPr>
          <w:p w:rsidR="001F1105" w:rsidRPr="001F1105" w:rsidRDefault="001F1105">
            <w:pPr>
              <w:rPr>
                <w:b/>
                <w:bCs/>
              </w:rPr>
            </w:pPr>
            <w:r w:rsidRPr="001F1105">
              <w:rPr>
                <w:b/>
                <w:bCs/>
              </w:rPr>
              <w:t>Из них повторных, поступивших из др. организаций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95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pPr>
              <w:rPr>
                <w:b/>
                <w:bCs/>
              </w:rPr>
            </w:pPr>
            <w:r w:rsidRPr="001F1105">
              <w:rPr>
                <w:b/>
                <w:bCs/>
              </w:rPr>
              <w:t>Поступило писем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866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По факсу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65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По электронной почте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52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С сайта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25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pPr>
              <w:rPr>
                <w:b/>
                <w:bCs/>
              </w:rPr>
            </w:pPr>
            <w:r w:rsidRPr="001F1105">
              <w:rPr>
                <w:b/>
                <w:bCs/>
              </w:rPr>
              <w:t>Результативность рассмотрения вопросов в обращениях граждан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/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Результативность рассмотрения вопросов всего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787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-отказано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3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-</w:t>
            </w:r>
            <w:proofErr w:type="spellStart"/>
            <w:proofErr w:type="gramStart"/>
            <w:r w:rsidRPr="001F1105">
              <w:t>p</w:t>
            </w:r>
            <w:proofErr w:type="gramEnd"/>
            <w:r w:rsidRPr="001F1105">
              <w:t>азъяснено</w:t>
            </w:r>
            <w:proofErr w:type="spellEnd"/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391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-запрос выполнен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31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-меры приняты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38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-вне компетенции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10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-направить по принадлежности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30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-факты подтвердились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11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r w:rsidRPr="001F1105">
              <w:t>-виновные наказаны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r w:rsidRPr="001F1105">
              <w:t>9</w:t>
            </w:r>
          </w:p>
        </w:tc>
      </w:tr>
      <w:tr w:rsidR="001F1105" w:rsidRPr="001F1105" w:rsidTr="001F1105">
        <w:trPr>
          <w:trHeight w:val="338"/>
        </w:trPr>
        <w:tc>
          <w:tcPr>
            <w:tcW w:w="6204" w:type="dxa"/>
            <w:noWrap/>
            <w:hideMark/>
          </w:tcPr>
          <w:p w:rsidR="001F1105" w:rsidRPr="001F1105" w:rsidRDefault="001F1105">
            <w:pPr>
              <w:rPr>
                <w:b/>
                <w:bCs/>
              </w:rPr>
            </w:pPr>
            <w:r w:rsidRPr="001F1105">
              <w:rPr>
                <w:b/>
                <w:bCs/>
              </w:rPr>
              <w:t>Строительство</w:t>
            </w:r>
          </w:p>
        </w:tc>
        <w:tc>
          <w:tcPr>
            <w:tcW w:w="2551" w:type="dxa"/>
            <w:noWrap/>
            <w:hideMark/>
          </w:tcPr>
          <w:p w:rsidR="001F1105" w:rsidRPr="001F1105" w:rsidRDefault="001F1105" w:rsidP="001F1105">
            <w:pPr>
              <w:rPr>
                <w:b/>
                <w:bCs/>
              </w:rPr>
            </w:pPr>
            <w:r w:rsidRPr="001F1105">
              <w:rPr>
                <w:b/>
                <w:bCs/>
              </w:rPr>
              <w:t>100 %</w:t>
            </w:r>
          </w:p>
        </w:tc>
      </w:tr>
      <w:tr w:rsidR="001F1105" w:rsidRPr="001F1105" w:rsidTr="001F1105">
        <w:trPr>
          <w:trHeight w:val="252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СТРОИТЕЛЬСТВО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38,53 %</w:t>
            </w:r>
          </w:p>
        </w:tc>
      </w:tr>
      <w:tr w:rsidR="001F1105" w:rsidRPr="001F1105" w:rsidTr="001F1105">
        <w:trPr>
          <w:trHeight w:val="278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О НЕГАТИВНОМ ВЛИЯНИИ СТРОИТЕЛЬСТВА НА ОКРУЖАЮЩУЮ ЗАСТРОЙКУ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11,6 %</w:t>
            </w:r>
          </w:p>
        </w:tc>
      </w:tr>
      <w:tr w:rsidR="001F1105" w:rsidRPr="001F1105" w:rsidTr="001F1105">
        <w:trPr>
          <w:trHeight w:val="263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О КАЧЕСТВЕ СДАННЫХ В ЭКСПЛУАТАЦИЮ ДОМОВ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9,48 %</w:t>
            </w:r>
          </w:p>
        </w:tc>
      </w:tr>
      <w:tr w:rsidR="001F1105" w:rsidRPr="001F1105" w:rsidTr="001F1105">
        <w:trPr>
          <w:trHeight w:val="492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О НАРУШЕНИИ ГРАДОСТРОИТЕЛЬНОГО ЗАКОНОДАТЕЛЬСТВА ПРИ СТРОИТЕЛЬСТВЕ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4,24 %</w:t>
            </w:r>
          </w:p>
        </w:tc>
      </w:tr>
      <w:tr w:rsidR="001F1105" w:rsidRPr="001F1105" w:rsidTr="001F1105">
        <w:trPr>
          <w:trHeight w:val="263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О  СТРОИТЕЛЬНЫХ РАБОТАХ В  НОЧНОЕ ВРЕМЯ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4,11 %</w:t>
            </w:r>
          </w:p>
        </w:tc>
      </w:tr>
      <w:tr w:rsidR="001F1105" w:rsidRPr="001F1105" w:rsidTr="001F1105">
        <w:trPr>
          <w:trHeight w:val="240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ОБ УПЛОТНИТЕЛЬНОЙ ЗАСТРОЙКЕ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4,11 %</w:t>
            </w:r>
          </w:p>
        </w:tc>
      </w:tr>
      <w:tr w:rsidR="001F1105" w:rsidRPr="001F1105" w:rsidTr="001F1105">
        <w:trPr>
          <w:trHeight w:val="289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О ПРЕДОСТАВЛЕНИИ ИНФОРМАЦИИ ПО СТРОЯЩИМСЯ ОБЪЕКТАМ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3,74 %</w:t>
            </w:r>
          </w:p>
        </w:tc>
      </w:tr>
      <w:tr w:rsidR="001F1105" w:rsidRPr="001F1105" w:rsidTr="001F1105">
        <w:trPr>
          <w:trHeight w:val="263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О НАРУШЕНИЯХ НА СТРОИТЕЛЬНЫХ ПЛОЩАДКАХ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2,62 %</w:t>
            </w:r>
          </w:p>
        </w:tc>
      </w:tr>
      <w:tr w:rsidR="001F1105" w:rsidRPr="001F1105" w:rsidTr="001F1105">
        <w:trPr>
          <w:trHeight w:val="278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О СРОКАХ СДАЧИ ДОМОВ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1,75 %</w:t>
            </w:r>
          </w:p>
        </w:tc>
      </w:tr>
      <w:tr w:rsidR="001F1105" w:rsidRPr="001F1105" w:rsidTr="001F1105">
        <w:trPr>
          <w:trHeight w:val="289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ОБ ОБМАНУТЫХ ДОЛЬЩИКАХ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1,25 %</w:t>
            </w:r>
          </w:p>
        </w:tc>
      </w:tr>
      <w:tr w:rsidR="001F1105" w:rsidRPr="001F1105" w:rsidTr="001F1105">
        <w:trPr>
          <w:trHeight w:val="240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О ПРОВЕДЕНИИ СТРОИТЕЛЬНЫХ РАБОТ НА ЭКСПЛУАТИРУЕМЫХ ОБЪЕКТАХ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0,5 %</w:t>
            </w:r>
          </w:p>
        </w:tc>
      </w:tr>
      <w:tr w:rsidR="001F1105" w:rsidRPr="001F1105" w:rsidTr="001F1105">
        <w:trPr>
          <w:trHeight w:val="289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БЛАГОУСТРОЙСТВО ГОРОДОВ И ПОСЕЛКОВ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0,5 %</w:t>
            </w:r>
          </w:p>
        </w:tc>
      </w:tr>
      <w:tr w:rsidR="001F1105" w:rsidRPr="001F1105" w:rsidTr="001F1105">
        <w:trPr>
          <w:trHeight w:val="278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СТРОИТЕЛЬСТВО ОБЪЕКТОВ СОЦНАЗНАЧЕНИЯ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0,25 %</w:t>
            </w:r>
          </w:p>
        </w:tc>
      </w:tr>
      <w:tr w:rsidR="001F1105" w:rsidRPr="001F1105" w:rsidTr="001F1105">
        <w:trPr>
          <w:trHeight w:val="263"/>
        </w:trPr>
        <w:tc>
          <w:tcPr>
            <w:tcW w:w="6204" w:type="dxa"/>
            <w:hideMark/>
          </w:tcPr>
          <w:p w:rsidR="001F1105" w:rsidRPr="001F1105" w:rsidRDefault="001F1105">
            <w:r w:rsidRPr="001F1105">
              <w:t>АРХИТЕКТУРА И ПРОЕКТИРОВАНИЕ</w:t>
            </w:r>
          </w:p>
        </w:tc>
        <w:tc>
          <w:tcPr>
            <w:tcW w:w="2551" w:type="dxa"/>
            <w:hideMark/>
          </w:tcPr>
          <w:p w:rsidR="001F1105" w:rsidRPr="001F1105" w:rsidRDefault="001F1105" w:rsidP="001F1105">
            <w:r w:rsidRPr="001F1105">
              <w:t>0,12 %</w:t>
            </w:r>
          </w:p>
        </w:tc>
      </w:tr>
      <w:bookmarkEnd w:id="0"/>
    </w:tbl>
    <w:p w:rsidR="00AA6180" w:rsidRDefault="00AA6180"/>
    <w:sectPr w:rsidR="00AA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05"/>
    <w:rsid w:val="00002352"/>
    <w:rsid w:val="0000368F"/>
    <w:rsid w:val="00004A99"/>
    <w:rsid w:val="0001216D"/>
    <w:rsid w:val="000126FC"/>
    <w:rsid w:val="00013B79"/>
    <w:rsid w:val="0003185C"/>
    <w:rsid w:val="00040AD6"/>
    <w:rsid w:val="00047307"/>
    <w:rsid w:val="00050807"/>
    <w:rsid w:val="00053773"/>
    <w:rsid w:val="00053A61"/>
    <w:rsid w:val="00062273"/>
    <w:rsid w:val="00066F21"/>
    <w:rsid w:val="00071BDC"/>
    <w:rsid w:val="00081C8F"/>
    <w:rsid w:val="00094AA8"/>
    <w:rsid w:val="000A38E1"/>
    <w:rsid w:val="000B323C"/>
    <w:rsid w:val="000B60AA"/>
    <w:rsid w:val="000D2DEE"/>
    <w:rsid w:val="000D2E2F"/>
    <w:rsid w:val="000D5598"/>
    <w:rsid w:val="000E4391"/>
    <w:rsid w:val="000F31AC"/>
    <w:rsid w:val="000F3720"/>
    <w:rsid w:val="00103F51"/>
    <w:rsid w:val="001070AF"/>
    <w:rsid w:val="00111D28"/>
    <w:rsid w:val="0011698F"/>
    <w:rsid w:val="00117F16"/>
    <w:rsid w:val="00130DFE"/>
    <w:rsid w:val="00131C3D"/>
    <w:rsid w:val="001320C5"/>
    <w:rsid w:val="0013539D"/>
    <w:rsid w:val="00141C20"/>
    <w:rsid w:val="001441BD"/>
    <w:rsid w:val="00144966"/>
    <w:rsid w:val="00145950"/>
    <w:rsid w:val="00152A17"/>
    <w:rsid w:val="001624DE"/>
    <w:rsid w:val="00175CD6"/>
    <w:rsid w:val="00180C64"/>
    <w:rsid w:val="00183217"/>
    <w:rsid w:val="00183722"/>
    <w:rsid w:val="0019522E"/>
    <w:rsid w:val="00195403"/>
    <w:rsid w:val="001B43B1"/>
    <w:rsid w:val="001C0D5A"/>
    <w:rsid w:val="001C1524"/>
    <w:rsid w:val="001C3EF0"/>
    <w:rsid w:val="001C43C7"/>
    <w:rsid w:val="001C694F"/>
    <w:rsid w:val="001D0302"/>
    <w:rsid w:val="001D0976"/>
    <w:rsid w:val="001D49E7"/>
    <w:rsid w:val="001F1105"/>
    <w:rsid w:val="001F6955"/>
    <w:rsid w:val="002002AA"/>
    <w:rsid w:val="002025CE"/>
    <w:rsid w:val="002032F4"/>
    <w:rsid w:val="0021353C"/>
    <w:rsid w:val="00221BC6"/>
    <w:rsid w:val="0022447A"/>
    <w:rsid w:val="00233140"/>
    <w:rsid w:val="00235AED"/>
    <w:rsid w:val="00245CEA"/>
    <w:rsid w:val="00254845"/>
    <w:rsid w:val="00263C11"/>
    <w:rsid w:val="00267455"/>
    <w:rsid w:val="00275674"/>
    <w:rsid w:val="00284E6A"/>
    <w:rsid w:val="002945CD"/>
    <w:rsid w:val="00294966"/>
    <w:rsid w:val="00294C26"/>
    <w:rsid w:val="00295E30"/>
    <w:rsid w:val="002A7005"/>
    <w:rsid w:val="002B744B"/>
    <w:rsid w:val="002E2169"/>
    <w:rsid w:val="002E2BF8"/>
    <w:rsid w:val="002E69DC"/>
    <w:rsid w:val="002F4201"/>
    <w:rsid w:val="002F6C25"/>
    <w:rsid w:val="0030279A"/>
    <w:rsid w:val="003037B6"/>
    <w:rsid w:val="0031205C"/>
    <w:rsid w:val="00323B93"/>
    <w:rsid w:val="0034232A"/>
    <w:rsid w:val="00350337"/>
    <w:rsid w:val="00350FB8"/>
    <w:rsid w:val="003546DC"/>
    <w:rsid w:val="00356BBA"/>
    <w:rsid w:val="00356C97"/>
    <w:rsid w:val="00356D8D"/>
    <w:rsid w:val="003625F2"/>
    <w:rsid w:val="00363623"/>
    <w:rsid w:val="00371F57"/>
    <w:rsid w:val="00397401"/>
    <w:rsid w:val="003A2AFD"/>
    <w:rsid w:val="003A3B06"/>
    <w:rsid w:val="003A4CF8"/>
    <w:rsid w:val="003B1826"/>
    <w:rsid w:val="003B55B4"/>
    <w:rsid w:val="003C3F6B"/>
    <w:rsid w:val="003C6C69"/>
    <w:rsid w:val="003E1D98"/>
    <w:rsid w:val="003E5739"/>
    <w:rsid w:val="003E5853"/>
    <w:rsid w:val="003E7C7A"/>
    <w:rsid w:val="003F3CF7"/>
    <w:rsid w:val="0040765A"/>
    <w:rsid w:val="004172ED"/>
    <w:rsid w:val="00426C89"/>
    <w:rsid w:val="00445A5C"/>
    <w:rsid w:val="004671DD"/>
    <w:rsid w:val="004777DE"/>
    <w:rsid w:val="0048099B"/>
    <w:rsid w:val="004901E7"/>
    <w:rsid w:val="004A7B85"/>
    <w:rsid w:val="004B077A"/>
    <w:rsid w:val="004C1A5F"/>
    <w:rsid w:val="004C6891"/>
    <w:rsid w:val="004D38EB"/>
    <w:rsid w:val="004D62E2"/>
    <w:rsid w:val="004E3AC3"/>
    <w:rsid w:val="004F2787"/>
    <w:rsid w:val="004F7360"/>
    <w:rsid w:val="0051591F"/>
    <w:rsid w:val="00531B20"/>
    <w:rsid w:val="00532916"/>
    <w:rsid w:val="00534442"/>
    <w:rsid w:val="0053775B"/>
    <w:rsid w:val="00563BE5"/>
    <w:rsid w:val="00563C06"/>
    <w:rsid w:val="00563D13"/>
    <w:rsid w:val="00572666"/>
    <w:rsid w:val="0059140F"/>
    <w:rsid w:val="00595360"/>
    <w:rsid w:val="005A24DC"/>
    <w:rsid w:val="005A2C72"/>
    <w:rsid w:val="005A7FDF"/>
    <w:rsid w:val="005B3F2C"/>
    <w:rsid w:val="005B5190"/>
    <w:rsid w:val="005C4320"/>
    <w:rsid w:val="005D55FC"/>
    <w:rsid w:val="005E5C64"/>
    <w:rsid w:val="0060078F"/>
    <w:rsid w:val="00607262"/>
    <w:rsid w:val="00627A5A"/>
    <w:rsid w:val="00632C9B"/>
    <w:rsid w:val="00635597"/>
    <w:rsid w:val="00650809"/>
    <w:rsid w:val="00651EA8"/>
    <w:rsid w:val="00652257"/>
    <w:rsid w:val="006566D1"/>
    <w:rsid w:val="00657D04"/>
    <w:rsid w:val="00666FB8"/>
    <w:rsid w:val="00677A9C"/>
    <w:rsid w:val="006845D9"/>
    <w:rsid w:val="00695F02"/>
    <w:rsid w:val="00697C0E"/>
    <w:rsid w:val="006B1491"/>
    <w:rsid w:val="006B5B4B"/>
    <w:rsid w:val="006B5F80"/>
    <w:rsid w:val="006C0330"/>
    <w:rsid w:val="006C2F63"/>
    <w:rsid w:val="006C4F0B"/>
    <w:rsid w:val="006D0E8D"/>
    <w:rsid w:val="006D1048"/>
    <w:rsid w:val="006D26F7"/>
    <w:rsid w:val="006E050A"/>
    <w:rsid w:val="006E1655"/>
    <w:rsid w:val="006E43C9"/>
    <w:rsid w:val="0070101A"/>
    <w:rsid w:val="00712F95"/>
    <w:rsid w:val="00720485"/>
    <w:rsid w:val="00724665"/>
    <w:rsid w:val="00731C6C"/>
    <w:rsid w:val="007349F7"/>
    <w:rsid w:val="007367B5"/>
    <w:rsid w:val="00756F7F"/>
    <w:rsid w:val="00757FB5"/>
    <w:rsid w:val="00761B59"/>
    <w:rsid w:val="00777026"/>
    <w:rsid w:val="00787416"/>
    <w:rsid w:val="007909C7"/>
    <w:rsid w:val="007915D3"/>
    <w:rsid w:val="00793FF1"/>
    <w:rsid w:val="007A1D61"/>
    <w:rsid w:val="007A7290"/>
    <w:rsid w:val="007A7D5B"/>
    <w:rsid w:val="007B495B"/>
    <w:rsid w:val="007B7E30"/>
    <w:rsid w:val="007C7C8C"/>
    <w:rsid w:val="007D0C1B"/>
    <w:rsid w:val="007E615A"/>
    <w:rsid w:val="007F39AE"/>
    <w:rsid w:val="007F4C00"/>
    <w:rsid w:val="007F7DF8"/>
    <w:rsid w:val="00801C13"/>
    <w:rsid w:val="00801C75"/>
    <w:rsid w:val="008106C2"/>
    <w:rsid w:val="008313EA"/>
    <w:rsid w:val="00832768"/>
    <w:rsid w:val="00837B8C"/>
    <w:rsid w:val="00852560"/>
    <w:rsid w:val="00860117"/>
    <w:rsid w:val="0086357C"/>
    <w:rsid w:val="00863995"/>
    <w:rsid w:val="0088365B"/>
    <w:rsid w:val="00890278"/>
    <w:rsid w:val="00894DCA"/>
    <w:rsid w:val="008957A3"/>
    <w:rsid w:val="008A6DE9"/>
    <w:rsid w:val="008B37F8"/>
    <w:rsid w:val="008B3982"/>
    <w:rsid w:val="008B60E0"/>
    <w:rsid w:val="008C1C46"/>
    <w:rsid w:val="008C78DB"/>
    <w:rsid w:val="008C7CE8"/>
    <w:rsid w:val="008D34D4"/>
    <w:rsid w:val="008D67DB"/>
    <w:rsid w:val="008E23A1"/>
    <w:rsid w:val="008F3255"/>
    <w:rsid w:val="008F51D1"/>
    <w:rsid w:val="00905207"/>
    <w:rsid w:val="00912590"/>
    <w:rsid w:val="00931854"/>
    <w:rsid w:val="0093446D"/>
    <w:rsid w:val="00963BCE"/>
    <w:rsid w:val="00964E92"/>
    <w:rsid w:val="00977193"/>
    <w:rsid w:val="00980CF2"/>
    <w:rsid w:val="009822F7"/>
    <w:rsid w:val="009906E9"/>
    <w:rsid w:val="009A18E9"/>
    <w:rsid w:val="009B0E7E"/>
    <w:rsid w:val="009B22BB"/>
    <w:rsid w:val="009B6BD9"/>
    <w:rsid w:val="009D7E56"/>
    <w:rsid w:val="009E7B7B"/>
    <w:rsid w:val="009E7FF6"/>
    <w:rsid w:val="009F7DD4"/>
    <w:rsid w:val="00A0558A"/>
    <w:rsid w:val="00A15FBE"/>
    <w:rsid w:val="00A24C80"/>
    <w:rsid w:val="00A25594"/>
    <w:rsid w:val="00A27CB1"/>
    <w:rsid w:val="00A31206"/>
    <w:rsid w:val="00A33095"/>
    <w:rsid w:val="00A35EE0"/>
    <w:rsid w:val="00A36913"/>
    <w:rsid w:val="00A43932"/>
    <w:rsid w:val="00A4478E"/>
    <w:rsid w:val="00A46437"/>
    <w:rsid w:val="00A506E4"/>
    <w:rsid w:val="00A55A31"/>
    <w:rsid w:val="00A7209A"/>
    <w:rsid w:val="00A7535D"/>
    <w:rsid w:val="00A76BF2"/>
    <w:rsid w:val="00A97BD5"/>
    <w:rsid w:val="00AA22FF"/>
    <w:rsid w:val="00AA274F"/>
    <w:rsid w:val="00AA6180"/>
    <w:rsid w:val="00AB3551"/>
    <w:rsid w:val="00AB5DF2"/>
    <w:rsid w:val="00AC62FC"/>
    <w:rsid w:val="00AD03B6"/>
    <w:rsid w:val="00AD0E27"/>
    <w:rsid w:val="00AE5691"/>
    <w:rsid w:val="00AE663C"/>
    <w:rsid w:val="00AE7EA7"/>
    <w:rsid w:val="00AF52FA"/>
    <w:rsid w:val="00B117FC"/>
    <w:rsid w:val="00B13AB6"/>
    <w:rsid w:val="00B16704"/>
    <w:rsid w:val="00B23372"/>
    <w:rsid w:val="00B23973"/>
    <w:rsid w:val="00B24612"/>
    <w:rsid w:val="00B25336"/>
    <w:rsid w:val="00B370AE"/>
    <w:rsid w:val="00B505B8"/>
    <w:rsid w:val="00B51DEB"/>
    <w:rsid w:val="00B5203E"/>
    <w:rsid w:val="00B61C40"/>
    <w:rsid w:val="00B74F0E"/>
    <w:rsid w:val="00B76EE4"/>
    <w:rsid w:val="00B77C95"/>
    <w:rsid w:val="00B825D1"/>
    <w:rsid w:val="00B86DC3"/>
    <w:rsid w:val="00B95294"/>
    <w:rsid w:val="00BA17B2"/>
    <w:rsid w:val="00BB6CB3"/>
    <w:rsid w:val="00BC0588"/>
    <w:rsid w:val="00BC0E09"/>
    <w:rsid w:val="00BC174C"/>
    <w:rsid w:val="00BC26BC"/>
    <w:rsid w:val="00BD23C5"/>
    <w:rsid w:val="00BD6D79"/>
    <w:rsid w:val="00BE64D7"/>
    <w:rsid w:val="00BF2579"/>
    <w:rsid w:val="00BF7E13"/>
    <w:rsid w:val="00C02422"/>
    <w:rsid w:val="00C07A56"/>
    <w:rsid w:val="00C24A31"/>
    <w:rsid w:val="00C26A50"/>
    <w:rsid w:val="00C31BDC"/>
    <w:rsid w:val="00C31CEE"/>
    <w:rsid w:val="00C373BD"/>
    <w:rsid w:val="00C454DC"/>
    <w:rsid w:val="00C514D9"/>
    <w:rsid w:val="00C70466"/>
    <w:rsid w:val="00C86DE9"/>
    <w:rsid w:val="00CA3F0E"/>
    <w:rsid w:val="00CB2E60"/>
    <w:rsid w:val="00CB7B0F"/>
    <w:rsid w:val="00CD0118"/>
    <w:rsid w:val="00CD381C"/>
    <w:rsid w:val="00CD5099"/>
    <w:rsid w:val="00CD5841"/>
    <w:rsid w:val="00CE2093"/>
    <w:rsid w:val="00CE351E"/>
    <w:rsid w:val="00CF2C2D"/>
    <w:rsid w:val="00CF31BF"/>
    <w:rsid w:val="00CF390C"/>
    <w:rsid w:val="00CF3C5C"/>
    <w:rsid w:val="00D23095"/>
    <w:rsid w:val="00D277A4"/>
    <w:rsid w:val="00D27B61"/>
    <w:rsid w:val="00D30112"/>
    <w:rsid w:val="00D32A3F"/>
    <w:rsid w:val="00D35628"/>
    <w:rsid w:val="00D53C0A"/>
    <w:rsid w:val="00D53E46"/>
    <w:rsid w:val="00D56A70"/>
    <w:rsid w:val="00D62629"/>
    <w:rsid w:val="00D62A95"/>
    <w:rsid w:val="00D63482"/>
    <w:rsid w:val="00D674AE"/>
    <w:rsid w:val="00D87174"/>
    <w:rsid w:val="00D90D10"/>
    <w:rsid w:val="00D93C1C"/>
    <w:rsid w:val="00DA1539"/>
    <w:rsid w:val="00DA26EB"/>
    <w:rsid w:val="00DA59B1"/>
    <w:rsid w:val="00DB33F7"/>
    <w:rsid w:val="00DB5850"/>
    <w:rsid w:val="00DC0D61"/>
    <w:rsid w:val="00DE0A84"/>
    <w:rsid w:val="00DF271F"/>
    <w:rsid w:val="00DF48C2"/>
    <w:rsid w:val="00E04645"/>
    <w:rsid w:val="00E07A04"/>
    <w:rsid w:val="00E11797"/>
    <w:rsid w:val="00E13723"/>
    <w:rsid w:val="00E14F45"/>
    <w:rsid w:val="00E413EB"/>
    <w:rsid w:val="00E45DEA"/>
    <w:rsid w:val="00E74C90"/>
    <w:rsid w:val="00E75530"/>
    <w:rsid w:val="00E7575A"/>
    <w:rsid w:val="00E83E72"/>
    <w:rsid w:val="00EA381E"/>
    <w:rsid w:val="00EA512A"/>
    <w:rsid w:val="00EA55E3"/>
    <w:rsid w:val="00EA667B"/>
    <w:rsid w:val="00EA6EBC"/>
    <w:rsid w:val="00EC16D6"/>
    <w:rsid w:val="00ED1C4F"/>
    <w:rsid w:val="00EE1B7B"/>
    <w:rsid w:val="00EE1E37"/>
    <w:rsid w:val="00EF0C43"/>
    <w:rsid w:val="00F0293B"/>
    <w:rsid w:val="00F12433"/>
    <w:rsid w:val="00F137D1"/>
    <w:rsid w:val="00F219D1"/>
    <w:rsid w:val="00F277C1"/>
    <w:rsid w:val="00F32966"/>
    <w:rsid w:val="00F403A8"/>
    <w:rsid w:val="00F5344F"/>
    <w:rsid w:val="00F548A7"/>
    <w:rsid w:val="00F62C99"/>
    <w:rsid w:val="00F711F9"/>
    <w:rsid w:val="00F756DE"/>
    <w:rsid w:val="00F92C88"/>
    <w:rsid w:val="00F93930"/>
    <w:rsid w:val="00F94A6E"/>
    <w:rsid w:val="00F96042"/>
    <w:rsid w:val="00F96B51"/>
    <w:rsid w:val="00FA4C4D"/>
    <w:rsid w:val="00FA6290"/>
    <w:rsid w:val="00FB1BDC"/>
    <w:rsid w:val="00FB3225"/>
    <w:rsid w:val="00FB6ED6"/>
    <w:rsid w:val="00FE48BA"/>
    <w:rsid w:val="00FE53F6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А. Фриденталь</dc:creator>
  <cp:lastModifiedBy>Анна А. Фриденталь</cp:lastModifiedBy>
  <cp:revision>2</cp:revision>
  <dcterms:created xsi:type="dcterms:W3CDTF">2014-12-15T13:57:00Z</dcterms:created>
  <dcterms:modified xsi:type="dcterms:W3CDTF">2014-12-15T13:57:00Z</dcterms:modified>
</cp:coreProperties>
</file>