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On the Origin of Species (1859)</w:t>
      </w:r>
    </w:p>
    <w:p>
      <w:pPr>
        <w:pStyle w:val="Heading2"/>
      </w:pPr>
      <w:r>
        <w:t>CHAPTER IV - Natural Selection</w:t>
      </w:r>
    </w:p>
    <w:p>
      <w:r>
        <w:t>country undergoing some physical change […] inhabitants […] undergo a change […] become extinct […] any change […] would most seriously affect many of the others […] disturb the relations of some of the former inhabitants […] better adapting them to their altered conditions, would tend to be preserved […] free scope for the work of improvement</w:t>
      </w:r>
    </w:p>
    <w:p>
      <w:pPr>
        <w:pStyle w:val="Heading2"/>
      </w:pPr>
      <w:r>
        <w:t>CHAPTER V - Laws of Variation</w:t>
      </w:r>
    </w:p>
    <w:p>
      <w:r>
        <w:t>our ignorance of the cause of each particular variation</w:t>
      </w:r>
    </w:p>
    <w:p>
      <w:pPr>
        <w:pStyle w:val="Heading3"/>
      </w:pPr>
      <w:r>
        <w:t>Effects of Use and Disuse</w:t>
      </w:r>
    </w:p>
    <w:p>
      <w:r>
        <w:t>use in our domestic animals strengthens and enlarges certain parts, and disuse diminishes them […] many animals have structures which can be explained by the effects of disuse […] bird that cannot fly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