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 the Origin of Species (1859)</w:t>
      </w:r>
    </w:p>
    <w:p>
      <w:pPr>
        <w:pStyle w:val="Heading2"/>
      </w:pPr>
      <w:r>
        <w:t>CHAPTER IV - Natural Selection</w:t>
      </w:r>
    </w:p>
    <w:p>
      <w:r>
        <w:t>In a country undergoing a change of climate, the proportional numbers of its inhabitants would almost immediately undergo a change and some species might become extinct. If the country were open on its borders, new forms would immigrate and disturb the relations of some of the former inhabitants. In the case of an island, or of a country partly surrounded by barriers, new and better adapted forms could not freely enter.</w:t>
      </w:r>
    </w:p>
    <w:p>
      <w:pPr>
        <w:pStyle w:val="Heading2"/>
      </w:pPr>
      <w:r>
        <w:t>CHAPTER V - Laws of Variation</w:t>
      </w:r>
    </w:p>
    <w:p>
      <w:r>
        <w:t xml:space="preserve">The variations in nature are common and multiform in organic beings under domestication and in those in a state of nature. They are not due to chance, but to our ignorance of the cause of each particular variation, as I have said in the past. </w:t>
      </w:r>
    </w:p>
    <w:p>
      <w:pPr>
        <w:pStyle w:val="Heading3"/>
      </w:pPr>
      <w:r>
        <w:t>Effects of Use and Disuse</w:t>
      </w:r>
    </w:p>
    <w:p>
      <w:r>
        <w:t>There is little doubt that use in domestic animals strengthens and enlarges certain parts, and disuse diminishes them. Under free nature, we can have no standard to judge the effects of long-continued use or disuse. Many animals have structures which can be explained by their disuse, as Professor Owen has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