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yperlink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yperlink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yperlink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yperlink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yperlink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yperlink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yperlink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yperlink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yperlink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yperlink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yperlink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yperlink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yperlink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yperlink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yperlink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yperlink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Heading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609F9873" w:rsidR="008B7879" w:rsidRDefault="003D11A5" w:rsidP="006B7980">
      <w:pPr>
        <w:pStyle w:val="Heading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="001F5D88">
        <w:t>M</w:t>
      </w:r>
      <w:r w:rsidRPr="003D11A5">
        <w:t>odel</w:t>
      </w:r>
      <w:proofErr w:type="spellEnd"/>
      <w:r w:rsidRPr="003D11A5">
        <w:t xml:space="preserve"> </w:t>
      </w:r>
      <w:proofErr w:type="spellStart"/>
      <w:r w:rsidR="001F5D88">
        <w:t>C</w:t>
      </w:r>
      <w:r w:rsidRPr="003D11A5">
        <w:t>anva</w:t>
      </w:r>
      <w:r>
        <w:t>s</w:t>
      </w:r>
      <w:bookmarkEnd w:id="6"/>
      <w:proofErr w:type="spellEnd"/>
    </w:p>
    <w:p w14:paraId="3A6334BD" w14:textId="30B02DB3" w:rsidR="001F5D88" w:rsidRPr="001F5D88" w:rsidRDefault="001F5D88" w:rsidP="001F5D88">
      <w:pPr>
        <w:pStyle w:val="Caption"/>
        <w:keepNext/>
        <w:spacing w:after="0"/>
        <w:jc w:val="left"/>
        <w:rPr>
          <w:color w:val="auto"/>
          <w:sz w:val="24"/>
          <w:szCs w:val="24"/>
        </w:rPr>
      </w:pPr>
      <w:r w:rsidRPr="001F5D88">
        <w:rPr>
          <w:b/>
          <w:bCs/>
          <w:color w:val="auto"/>
          <w:sz w:val="24"/>
          <w:szCs w:val="24"/>
        </w:rPr>
        <w:t xml:space="preserve">Gráfico </w:t>
      </w:r>
      <w:r w:rsidRPr="001F5D88">
        <w:rPr>
          <w:b/>
          <w:bCs/>
          <w:color w:val="auto"/>
          <w:sz w:val="24"/>
          <w:szCs w:val="24"/>
        </w:rPr>
        <w:fldChar w:fldCharType="begin"/>
      </w:r>
      <w:r w:rsidRPr="001F5D88">
        <w:rPr>
          <w:b/>
          <w:bCs/>
          <w:color w:val="auto"/>
          <w:sz w:val="24"/>
          <w:szCs w:val="24"/>
        </w:rPr>
        <w:instrText xml:space="preserve"> SEQ Gráfico \* ARABIC </w:instrText>
      </w:r>
      <w:r w:rsidRPr="001F5D88">
        <w:rPr>
          <w:b/>
          <w:bCs/>
          <w:color w:val="auto"/>
          <w:sz w:val="24"/>
          <w:szCs w:val="24"/>
        </w:rPr>
        <w:fldChar w:fldCharType="separate"/>
      </w:r>
      <w:r w:rsidRPr="001F5D88">
        <w:rPr>
          <w:b/>
          <w:bCs/>
          <w:noProof/>
          <w:color w:val="auto"/>
          <w:sz w:val="24"/>
          <w:szCs w:val="24"/>
        </w:rPr>
        <w:t>1</w:t>
      </w:r>
      <w:r w:rsidRPr="001F5D88">
        <w:rPr>
          <w:b/>
          <w:bCs/>
          <w:color w:val="auto"/>
          <w:sz w:val="24"/>
          <w:szCs w:val="24"/>
        </w:rPr>
        <w:fldChar w:fldCharType="end"/>
      </w:r>
      <w:r w:rsidRPr="001F5D88">
        <w:rPr>
          <w:color w:val="auto"/>
          <w:sz w:val="24"/>
          <w:szCs w:val="24"/>
        </w:rPr>
        <w:br/>
      </w:r>
      <w:proofErr w:type="spellStart"/>
      <w:r w:rsidRPr="001F5D88">
        <w:rPr>
          <w:color w:val="auto"/>
          <w:sz w:val="24"/>
          <w:szCs w:val="24"/>
        </w:rPr>
        <w:t>The</w:t>
      </w:r>
      <w:proofErr w:type="spellEnd"/>
      <w:r w:rsidRPr="001F5D88">
        <w:rPr>
          <w:color w:val="auto"/>
          <w:sz w:val="24"/>
          <w:szCs w:val="24"/>
        </w:rPr>
        <w:t xml:space="preserve"> Business </w:t>
      </w:r>
      <w:proofErr w:type="spellStart"/>
      <w:r w:rsidRPr="001F5D88">
        <w:rPr>
          <w:color w:val="auto"/>
          <w:sz w:val="24"/>
          <w:szCs w:val="24"/>
        </w:rPr>
        <w:t>Model</w:t>
      </w:r>
      <w:proofErr w:type="spellEnd"/>
      <w:r w:rsidRPr="001F5D88">
        <w:rPr>
          <w:color w:val="auto"/>
          <w:sz w:val="24"/>
          <w:szCs w:val="24"/>
        </w:rPr>
        <w:t xml:space="preserve"> </w:t>
      </w:r>
      <w:proofErr w:type="spellStart"/>
      <w:r w:rsidRPr="001F5D88">
        <w:rPr>
          <w:color w:val="auto"/>
          <w:sz w:val="24"/>
          <w:szCs w:val="24"/>
        </w:rPr>
        <w:t>Canvas</w:t>
      </w:r>
      <w:proofErr w:type="spellEnd"/>
    </w:p>
    <w:p w14:paraId="0ECEC736" w14:textId="77777777" w:rsidR="00A0017F" w:rsidRDefault="00A0017F" w:rsidP="006B7980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7E2793D8" wp14:editId="76E627ED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71" cy="40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4067" w14:textId="77777777" w:rsidR="001F5D88" w:rsidRDefault="001F5D88" w:rsidP="006B7980">
      <w:pPr>
        <w:rPr>
          <w:rFonts w:eastAsiaTheme="majorEastAsia"/>
        </w:rPr>
      </w:pPr>
      <w:r w:rsidRPr="001F5D88">
        <w:rPr>
          <w:rFonts w:eastAsiaTheme="majorEastAsia"/>
          <w:b/>
          <w:bCs/>
        </w:rPr>
        <w:t>Nota:</w:t>
      </w:r>
      <w:r>
        <w:rPr>
          <w:rFonts w:eastAsiaTheme="majorEastAsia"/>
        </w:rPr>
        <w:t xml:space="preserve"> </w:t>
      </w:r>
      <w:r w:rsidRPr="001F5D88">
        <w:rPr>
          <w:rFonts w:eastAsiaTheme="majorEastAsia"/>
        </w:rPr>
        <w:t xml:space="preserve">El gráfico representa el Modelo de Negocio </w:t>
      </w:r>
      <w:proofErr w:type="spellStart"/>
      <w:r w:rsidRPr="001F5D88">
        <w:rPr>
          <w:rFonts w:eastAsiaTheme="majorEastAsia"/>
        </w:rPr>
        <w:t>Canvas</w:t>
      </w:r>
      <w:proofErr w:type="spellEnd"/>
      <w:r w:rsidRPr="001F5D88">
        <w:rPr>
          <w:rFonts w:eastAsiaTheme="majorEastAsia"/>
        </w:rPr>
        <w:t>, donde se visualizan de manera integral los componentes estratégicos que sustentan la creación, entrega y captura de valor del negocio.</w:t>
      </w:r>
      <w:r w:rsidRPr="001F5D88">
        <w:rPr>
          <w:rFonts w:eastAsiaTheme="majorEastAsia"/>
        </w:rPr>
        <w:t xml:space="preserve"> </w:t>
      </w:r>
    </w:p>
    <w:p w14:paraId="1FB5D671" w14:textId="6C7D3EAC" w:rsidR="006B7980" w:rsidRPr="006B7980" w:rsidRDefault="006B7980" w:rsidP="000A6B6F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 xml:space="preserve">, herramienta que permite visualizar de manera integral la lógica de creación, entrega y </w:t>
      </w:r>
      <w:r w:rsidRPr="006B7980">
        <w:rPr>
          <w:rFonts w:eastAsiaTheme="majorEastAsia"/>
        </w:rPr>
        <w:lastRenderedPageBreak/>
        <w:t>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Heading3"/>
      </w:pPr>
      <w:bookmarkStart w:id="7" w:name="_Toc223244308"/>
      <w:r w:rsidRPr="006B7980"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Heading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Este enfoque permite atender un segmento específico con necesidades claras de practicidad, nutrición y eficiencia en el uso del tiempo.</w:t>
      </w:r>
    </w:p>
    <w:p w14:paraId="06F113B2" w14:textId="77777777" w:rsidR="006B7980" w:rsidRPr="006B7980" w:rsidRDefault="006B7980" w:rsidP="006B7980">
      <w:pPr>
        <w:pStyle w:val="Heading3"/>
      </w:pPr>
      <w:bookmarkStart w:id="9" w:name="_Toc223244310"/>
      <w:r w:rsidRPr="006B7980">
        <w:lastRenderedPageBreak/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utiliza canales digitales como principal medio de comercialización. Entre 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Heading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Heading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Las actividades clave del negocio incluyen la selección y compra de frutas frescas, la preparación y armado diario de los desayunos, el control de calidad e higiene, la gestión </w:t>
      </w:r>
      <w:r w:rsidRPr="006B7980">
        <w:rPr>
          <w:rFonts w:eastAsiaTheme="majorEastAsia"/>
        </w:rPr>
        <w:lastRenderedPageBreak/>
        <w:t>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Adicionalmente, se desarrollan actividades de marketing digital, administración de la 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Heading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Heading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lastRenderedPageBreak/>
        <w:t>Estas alianzas permiten garantizar abastecimiento constante, calidad en la materia prima, optimización de costos y reducción de riesgos asociados a retrasos o escasez de insumos.</w:t>
      </w:r>
    </w:p>
    <w:p w14:paraId="31BF5364" w14:textId="77777777" w:rsidR="006B7980" w:rsidRPr="006B7980" w:rsidRDefault="006B7980" w:rsidP="006B7980">
      <w:pPr>
        <w:pStyle w:val="Heading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Heading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170AD024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77777777" w:rsidR="006B7980" w:rsidRPr="00BC27A3" w:rsidRDefault="006B7980" w:rsidP="00BC27A3">
      <w:pPr>
        <w:rPr>
          <w:rFonts w:eastAsiaTheme="majorEastAsia"/>
        </w:rPr>
      </w:pPr>
    </w:p>
    <w:sectPr w:rsidR="006B7980" w:rsidRPr="00BC27A3" w:rsidSect="00EF10EF">
      <w:headerReference w:type="first" r:id="rId14"/>
      <w:footerReference w:type="first" r:id="rId15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86C92" w14:textId="77777777" w:rsidR="00CA333A" w:rsidRDefault="00CA333A" w:rsidP="00DA37F9">
      <w:r>
        <w:separator/>
      </w:r>
    </w:p>
  </w:endnote>
  <w:endnote w:type="continuationSeparator" w:id="0">
    <w:p w14:paraId="26B6D8D1" w14:textId="77777777" w:rsidR="00CA333A" w:rsidRDefault="00CA333A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5FE48" w14:textId="77777777" w:rsidR="00CA333A" w:rsidRDefault="00CA333A" w:rsidP="00DA37F9">
      <w:r>
        <w:separator/>
      </w:r>
    </w:p>
  </w:footnote>
  <w:footnote w:type="continuationSeparator" w:id="0">
    <w:p w14:paraId="0866D5D5" w14:textId="77777777" w:rsidR="00CA333A" w:rsidRDefault="00CA333A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A6B6F"/>
    <w:rsid w:val="000C394C"/>
    <w:rsid w:val="000D5565"/>
    <w:rsid w:val="000D5D2F"/>
    <w:rsid w:val="001730F5"/>
    <w:rsid w:val="001A1525"/>
    <w:rsid w:val="001F5D88"/>
    <w:rsid w:val="0020382B"/>
    <w:rsid w:val="002420E0"/>
    <w:rsid w:val="00272CF8"/>
    <w:rsid w:val="00295214"/>
    <w:rsid w:val="002A17E4"/>
    <w:rsid w:val="002B0DE8"/>
    <w:rsid w:val="00321E83"/>
    <w:rsid w:val="003648E9"/>
    <w:rsid w:val="00370467"/>
    <w:rsid w:val="003D11A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857F5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665F4"/>
    <w:rsid w:val="0099608E"/>
    <w:rsid w:val="009A4D68"/>
    <w:rsid w:val="009B118A"/>
    <w:rsid w:val="009C257D"/>
    <w:rsid w:val="00A0017F"/>
    <w:rsid w:val="00A56C16"/>
    <w:rsid w:val="00A91EAC"/>
    <w:rsid w:val="00AE1FED"/>
    <w:rsid w:val="00B0288B"/>
    <w:rsid w:val="00B43961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A333A"/>
    <w:rsid w:val="00CD66E3"/>
    <w:rsid w:val="00D11825"/>
    <w:rsid w:val="00D5492E"/>
    <w:rsid w:val="00D7308B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85F41"/>
    <w:rsid w:val="00FA604A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D0B29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5D88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igureStyle">
    <w:name w:val="Figure Style"/>
    <w:basedOn w:val="Normal"/>
    <w:qFormat/>
    <w:rsid w:val="0099608E"/>
    <w:pPr>
      <w:spacing w:before="0" w:after="0"/>
    </w:pPr>
    <w:rPr>
      <w:rFonts w:eastAsiaTheme="majorEastAsia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16</Pages>
  <Words>2234</Words>
  <Characters>12287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14493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27</cp:revision>
  <dcterms:created xsi:type="dcterms:W3CDTF">2026-02-27T23:13:00Z</dcterms:created>
  <dcterms:modified xsi:type="dcterms:W3CDTF">2026-03-01T19:50:00Z</dcterms:modified>
</cp:coreProperties>
</file>