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hanging="6"/>
        <w:jc w:val="both"/>
        <w:rPr/>
      </w:pPr>
      <w:r>
        <w:rPr>
          <w:rFonts w:cs="Arial" w:ascii="Arial" w:hAnsi="Arial"/>
          <w:b/>
          <w:sz w:val="24"/>
          <w:szCs w:val="24"/>
        </w:rPr>
        <w:t xml:space="preserve">SUPPLEMENTARY MATERIAL 2. </w:t>
      </w:r>
      <w:r>
        <w:rPr>
          <w:rFonts w:cs="Arial" w:ascii="Arial" w:hAnsi="Arial"/>
          <w:b w:val="false"/>
          <w:bCs w:val="false"/>
          <w:sz w:val="24"/>
          <w:szCs w:val="24"/>
        </w:rPr>
        <w:t>A brief transposable elements annotation steps used in this work.</w:t>
      </w:r>
    </w:p>
    <w:p>
      <w:pPr>
        <w:pStyle w:val="Normal"/>
        <w:spacing w:lineRule="auto" w:line="360" w:before="0" w:after="0"/>
        <w:ind w:hanging="6"/>
        <w:jc w:val="both"/>
        <w:rPr>
          <w:rFonts w:ascii="Arial" w:hAnsi="Arial" w:cs="Arial"/>
          <w:sz w:val="24"/>
          <w:szCs w:val="24"/>
        </w:rPr>
      </w:pPr>
      <w:r>
        <w:rPr>
          <w:rFonts w:cs="Arial" w:ascii="Arial" w:hAnsi="Arial"/>
          <w:sz w:val="24"/>
          <w:szCs w:val="24"/>
        </w:rPr>
      </w:r>
    </w:p>
    <w:p>
      <w:pPr>
        <w:pStyle w:val="Normal"/>
        <w:spacing w:lineRule="auto" w:line="360" w:before="0" w:after="0"/>
        <w:ind w:hanging="6"/>
        <w:jc w:val="both"/>
        <w:rPr>
          <w:rFonts w:ascii="Arial" w:hAnsi="Arial" w:cs="Arial"/>
          <w:sz w:val="24"/>
          <w:szCs w:val="24"/>
        </w:rPr>
      </w:pPr>
      <w:r>
        <w:rPr>
          <w:rFonts w:cs="Arial" w:ascii="Arial" w:hAnsi="Arial"/>
          <w:b/>
          <w:sz w:val="24"/>
          <w:szCs w:val="24"/>
        </w:rPr>
        <w:t>Dataset</w:t>
      </w:r>
      <w:r>
        <w:rPr>
          <w:rFonts w:cs="Arial" w:ascii="Arial" w:hAnsi="Arial"/>
          <w:sz w:val="24"/>
          <w:szCs w:val="24"/>
        </w:rPr>
        <w:t>: Fifty-seven genomes used in this analysis were downloaded from Ensembl Plants, version 41. Plus, ten new genomes were added from version 45.</w:t>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sz w:val="24"/>
          <w:szCs w:val="24"/>
        </w:rPr>
      </w:pPr>
      <w:r>
        <w:rPr>
          <w:rFonts w:cs="Arial" w:ascii="Arial" w:hAnsi="Arial"/>
          <w:b/>
          <w:sz w:val="24"/>
          <w:szCs w:val="24"/>
        </w:rPr>
        <w:t>Identification</w:t>
      </w:r>
      <w:r>
        <w:rPr>
          <w:rFonts w:cs="Arial" w:ascii="Arial" w:hAnsi="Arial"/>
          <w:sz w:val="24"/>
          <w:szCs w:val="24"/>
        </w:rPr>
        <w:t>: A set of methodologies performed into steps were used to identify TEs.</w:t>
      </w:r>
    </w:p>
    <w:p>
      <w:pPr>
        <w:pStyle w:val="Normal"/>
        <w:spacing w:lineRule="auto" w:line="360" w:before="0" w:after="0"/>
        <w:ind w:hanging="6"/>
        <w:jc w:val="both"/>
        <w:rPr>
          <w:rFonts w:ascii="Arial" w:hAnsi="Arial" w:cs="Arial"/>
          <w:sz w:val="24"/>
          <w:szCs w:val="24"/>
        </w:rPr>
      </w:pPr>
      <w:r>
        <w:rPr>
          <w:rFonts w:cs="Arial" w:ascii="Arial" w:hAnsi="Arial"/>
          <w:sz w:val="24"/>
          <w:szCs w:val="24"/>
        </w:rPr>
      </w:r>
    </w:p>
    <w:p>
      <w:pPr>
        <w:pStyle w:val="Normal"/>
        <w:spacing w:lineRule="auto" w:line="360" w:before="0" w:after="0"/>
        <w:ind w:hanging="6"/>
        <w:jc w:val="both"/>
        <w:rPr>
          <w:rFonts w:ascii="Arial" w:hAnsi="Arial" w:cs="Arial"/>
          <w:sz w:val="24"/>
          <w:szCs w:val="24"/>
        </w:rPr>
      </w:pPr>
      <w:r>
        <w:rPr>
          <w:rFonts w:cs="Arial" w:ascii="Arial" w:hAnsi="Arial"/>
          <w:sz w:val="24"/>
          <w:szCs w:val="24"/>
        </w:rPr>
        <w:tab/>
        <w:tab/>
      </w:r>
      <w:r>
        <w:rPr>
          <w:rFonts w:cs="Arial" w:ascii="Arial" w:hAnsi="Arial"/>
          <w:b/>
          <w:bCs/>
          <w:sz w:val="24"/>
          <w:szCs w:val="24"/>
        </w:rPr>
        <w:t>Step 1</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To identify transposable elements four tools were used: </w:t>
      </w:r>
      <w:r>
        <w:rPr>
          <w:rFonts w:cs="Arial" w:ascii="Arial" w:hAnsi="Arial"/>
          <w:b/>
          <w:sz w:val="24"/>
          <w:szCs w:val="24"/>
        </w:rPr>
        <w:t>A)</w:t>
      </w:r>
      <w:r>
        <w:rPr>
          <w:rFonts w:cs="Arial" w:ascii="Arial" w:hAnsi="Arial"/>
          <w:sz w:val="24"/>
          <w:szCs w:val="24"/>
        </w:rPr>
        <w:t xml:space="preserve"> TEs identification with RepeatScout (version 1.0.5) resulted in a library. The output was before classified using PASTEClassifier. </w:t>
      </w:r>
      <w:r>
        <w:rPr>
          <w:rFonts w:cs="Arial" w:ascii="Arial" w:hAnsi="Arial"/>
          <w:b/>
          <w:sz w:val="24"/>
          <w:szCs w:val="24"/>
        </w:rPr>
        <w:t>B)</w:t>
      </w:r>
      <w:r>
        <w:rPr>
          <w:rFonts w:cs="Arial" w:ascii="Arial" w:hAnsi="Arial"/>
          <w:sz w:val="24"/>
          <w:szCs w:val="24"/>
        </w:rPr>
        <w:t xml:space="preserve"> RepeatModeler (version 10.0.10) was used to create a TEs consensus to use as library to RepeatMasker. </w:t>
      </w:r>
    </w:p>
    <w:p>
      <w:pPr>
        <w:pStyle w:val="Normal"/>
        <w:spacing w:lineRule="auto" w:line="360" w:before="0" w:after="0"/>
        <w:ind w:hanging="6"/>
        <w:jc w:val="both"/>
        <w:rPr>
          <w:rFonts w:ascii="Arial" w:hAnsi="Arial" w:cs="Arial"/>
          <w:sz w:val="24"/>
          <w:szCs w:val="24"/>
        </w:rPr>
      </w:pPr>
      <w:r>
        <w:rPr>
          <w:rFonts w:cs="Arial" w:ascii="Arial" w:hAnsi="Arial"/>
          <w:sz w:val="24"/>
          <w:szCs w:val="24"/>
        </w:rPr>
      </w:r>
    </w:p>
    <w:p>
      <w:pPr>
        <w:pStyle w:val="Normal"/>
        <w:spacing w:lineRule="auto" w:line="360" w:before="0" w:after="0"/>
        <w:ind w:hanging="6"/>
        <w:jc w:val="both"/>
        <w:rPr>
          <w:rFonts w:ascii="Arial" w:hAnsi="Arial" w:cs="Arial"/>
          <w:sz w:val="24"/>
          <w:szCs w:val="24"/>
        </w:rPr>
      </w:pPr>
      <w:r>
        <w:rPr>
          <w:rFonts w:cs="Arial" w:ascii="Arial" w:hAnsi="Arial"/>
          <w:sz w:val="24"/>
          <w:szCs w:val="24"/>
        </w:rPr>
        <w:tab/>
        <w:tab/>
      </w:r>
      <w:r>
        <w:rPr>
          <w:rFonts w:cs="Arial" w:ascii="Arial" w:hAnsi="Arial"/>
          <w:b/>
          <w:bCs/>
          <w:sz w:val="24"/>
          <w:szCs w:val="24"/>
        </w:rPr>
        <w:t>Step 2</w:t>
      </w:r>
      <w:r>
        <w:rPr>
          <w:rFonts w:cs="Arial" w:ascii="Arial" w:hAnsi="Arial"/>
          <w:sz w:val="24"/>
          <w:szCs w:val="24"/>
        </w:rPr>
        <w:t>: Genome-wide identification of TEs using RepeatMasker (version 4.0.7) with a Repbase library (version 20181026) and with libraries from RepeatModeler and RepeatScout. We filtered score less than 250 (recommended by RepeatMasker to avoid increase of false positive numbers) and coverage sequence of over 60%. Sequences that did not reach these requirements were discarded.</w:t>
      </w:r>
    </w:p>
    <w:p>
      <w:pPr>
        <w:pStyle w:val="Normal"/>
        <w:spacing w:lineRule="auto" w:line="360" w:before="0" w:after="0"/>
        <w:ind w:hanging="6"/>
        <w:jc w:val="both"/>
        <w:rPr>
          <w:rFonts w:ascii="Arial" w:hAnsi="Arial" w:cs="Arial"/>
          <w:sz w:val="24"/>
          <w:szCs w:val="24"/>
        </w:rPr>
      </w:pPr>
      <w:r>
        <w:rPr>
          <w:rFonts w:cs="Arial" w:ascii="Arial" w:hAnsi="Arial"/>
          <w:sz w:val="24"/>
          <w:szCs w:val="24"/>
        </w:rPr>
      </w:r>
    </w:p>
    <w:p>
      <w:pPr>
        <w:pStyle w:val="Normal"/>
        <w:spacing w:lineRule="auto" w:line="360" w:before="0" w:after="0"/>
        <w:ind w:hanging="6"/>
        <w:jc w:val="both"/>
        <w:rPr>
          <w:rFonts w:ascii="Arial" w:hAnsi="Arial" w:cs="Arial"/>
          <w:sz w:val="24"/>
          <w:szCs w:val="24"/>
        </w:rPr>
      </w:pPr>
      <w:r>
        <w:rPr>
          <w:rFonts w:cs="Arial" w:ascii="Arial" w:hAnsi="Arial"/>
          <w:sz w:val="24"/>
          <w:szCs w:val="24"/>
        </w:rPr>
        <w:tab/>
        <w:tab/>
      </w:r>
      <w:r>
        <w:rPr>
          <w:rFonts w:cs="Arial" w:ascii="Arial" w:hAnsi="Arial"/>
          <w:b/>
          <w:bCs/>
          <w:sz w:val="24"/>
          <w:szCs w:val="24"/>
        </w:rPr>
        <w:t>Step 3</w:t>
      </w:r>
      <w:r>
        <w:rPr>
          <w:rFonts w:cs="Arial" w:ascii="Arial" w:hAnsi="Arial"/>
          <w:sz w:val="24"/>
          <w:szCs w:val="24"/>
        </w:rPr>
        <w:t>: For Class II - Subclass 2 TEs, we used HelitronScanner (version 1.1) and MITE-Hunter (release 11-2011).</w:t>
      </w:r>
    </w:p>
    <w:p>
      <w:pPr>
        <w:pStyle w:val="Normal"/>
        <w:spacing w:lineRule="auto" w:line="360" w:before="0" w:after="0"/>
        <w:ind w:hanging="6"/>
        <w:jc w:val="both"/>
        <w:rPr>
          <w:rFonts w:ascii="Arial" w:hAnsi="Arial" w:cs="Arial"/>
          <w:sz w:val="24"/>
          <w:szCs w:val="24"/>
        </w:rPr>
      </w:pPr>
      <w:r>
        <w:rPr>
          <w:rFonts w:cs="Arial" w:ascii="Arial" w:hAnsi="Arial"/>
          <w:sz w:val="24"/>
          <w:szCs w:val="24"/>
        </w:rPr>
      </w:r>
    </w:p>
    <w:p>
      <w:pPr>
        <w:pStyle w:val="Normal"/>
        <w:spacing w:lineRule="auto" w:line="360" w:before="0" w:after="0"/>
        <w:ind w:hanging="6"/>
        <w:jc w:val="both"/>
        <w:rPr>
          <w:rFonts w:ascii="Arial" w:hAnsi="Arial" w:cs="Arial"/>
          <w:sz w:val="24"/>
          <w:szCs w:val="24"/>
        </w:rPr>
      </w:pPr>
      <w:r>
        <w:rPr>
          <w:rFonts w:cs="Arial" w:ascii="Arial" w:hAnsi="Arial"/>
          <w:sz w:val="24"/>
          <w:szCs w:val="24"/>
        </w:rPr>
        <w:tab/>
        <w:tab/>
      </w:r>
      <w:r>
        <w:rPr>
          <w:rFonts w:cs="Arial" w:ascii="Arial" w:hAnsi="Arial"/>
          <w:b/>
          <w:bCs/>
          <w:sz w:val="24"/>
          <w:szCs w:val="24"/>
        </w:rPr>
        <w:t>Step 4</w:t>
      </w:r>
      <w:r>
        <w:rPr>
          <w:rFonts w:cs="Arial" w:ascii="Arial" w:hAnsi="Arial"/>
          <w:sz w:val="24"/>
          <w:szCs w:val="24"/>
        </w:rPr>
        <w:t>: For the identification of LTR retrotransposons, we used LTR_retriever, version 1.8. To identify Non-LTR retrotransposons, we used MGEScan-non-LTR, version 3.0, both in default parameters.</w:t>
      </w:r>
    </w:p>
    <w:p>
      <w:pPr>
        <w:pStyle w:val="Normal"/>
        <w:spacing w:lineRule="auto" w:line="360" w:before="0" w:after="0"/>
        <w:ind w:hanging="6"/>
        <w:jc w:val="both"/>
        <w:rPr>
          <w:rFonts w:ascii="Arial" w:hAnsi="Arial" w:cs="Arial"/>
          <w:b/>
          <w:b/>
          <w:sz w:val="24"/>
          <w:szCs w:val="24"/>
        </w:rPr>
      </w:pPr>
      <w:r>
        <w:rPr>
          <w:rFonts w:cs="Arial" w:ascii="Arial" w:hAnsi="Arial"/>
          <w:b/>
          <w:sz w:val="24"/>
          <w:szCs w:val="24"/>
        </w:rPr>
      </w:r>
    </w:p>
    <w:p>
      <w:pPr>
        <w:pStyle w:val="Normal"/>
        <w:spacing w:lineRule="auto" w:line="360" w:before="0" w:after="0"/>
        <w:ind w:hanging="6"/>
        <w:jc w:val="both"/>
        <w:rPr>
          <w:rFonts w:ascii="Arial" w:hAnsi="Arial" w:cs="Arial"/>
          <w:sz w:val="24"/>
          <w:szCs w:val="24"/>
        </w:rPr>
      </w:pPr>
      <w:r>
        <w:rPr>
          <w:rFonts w:cs="Arial" w:ascii="Arial" w:hAnsi="Arial"/>
          <w:b/>
          <w:sz w:val="24"/>
          <w:szCs w:val="24"/>
        </w:rPr>
        <w:t>Filter</w:t>
      </w:r>
      <w:r>
        <w:rPr>
          <w:rFonts w:cs="Arial" w:ascii="Arial" w:hAnsi="Arial"/>
          <w:sz w:val="24"/>
          <w:szCs w:val="24"/>
        </w:rPr>
        <w:t>: Removing undesired (low complexity, simple repeat and other nomenclature that is not Transposable Elements) repeats record.</w:t>
      </w:r>
    </w:p>
    <w:p>
      <w:pPr>
        <w:pStyle w:val="Normal"/>
        <w:spacing w:lineRule="auto" w:line="360" w:before="0" w:after="0"/>
        <w:ind w:hanging="6"/>
        <w:jc w:val="both"/>
        <w:rPr>
          <w:rFonts w:ascii="Arial" w:hAnsi="Arial" w:cs="Arial"/>
          <w:b/>
          <w:b/>
          <w:sz w:val="24"/>
          <w:szCs w:val="24"/>
        </w:rPr>
      </w:pPr>
      <w:r>
        <w:rPr>
          <w:rFonts w:cs="Arial" w:ascii="Arial" w:hAnsi="Arial"/>
          <w:b/>
          <w:sz w:val="24"/>
          <w:szCs w:val="24"/>
        </w:rPr>
      </w:r>
    </w:p>
    <w:p>
      <w:pPr>
        <w:pStyle w:val="Normal"/>
        <w:spacing w:lineRule="auto" w:line="360" w:before="0" w:after="0"/>
        <w:ind w:hanging="6"/>
        <w:jc w:val="both"/>
        <w:rPr>
          <w:rFonts w:ascii="Arial" w:hAnsi="Arial" w:cs="Arial"/>
          <w:sz w:val="24"/>
          <w:szCs w:val="24"/>
        </w:rPr>
      </w:pPr>
      <w:r>
        <w:rPr>
          <w:rFonts w:cs="Arial" w:ascii="Arial" w:hAnsi="Arial"/>
          <w:b/>
          <w:sz w:val="24"/>
          <w:szCs w:val="24"/>
        </w:rPr>
        <w:t>Annotation</w:t>
      </w:r>
      <w:r>
        <w:rPr>
          <w:rFonts w:cs="Arial" w:ascii="Arial" w:hAnsi="Arial"/>
          <w:sz w:val="24"/>
          <w:szCs w:val="24"/>
        </w:rPr>
        <w:t>: GFF3 file available to be downloaded.</w:t>
      </w:r>
    </w:p>
    <w:p>
      <w:pPr>
        <w:pStyle w:val="Normal"/>
        <w:spacing w:lineRule="auto" w:line="240" w:before="0" w:after="80"/>
        <w:ind w:right="274" w:hanging="0"/>
        <w:jc w:val="both"/>
        <w:rPr/>
      </w:pPr>
      <w:r>
        <w:rPr/>
      </w:r>
    </w:p>
    <w:sectPr>
      <w:footerReference w:type="default" r:id="rId2"/>
      <w:type w:val="nextPage"/>
      <w:pgSz w:w="12240" w:h="15840"/>
      <w:pgMar w:left="1000" w:right="980" w:header="0" w:top="1100" w:footer="360" w:bottom="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color w:val="000000"/>
        <w:sz w:val="20"/>
        <w:szCs w:val="20"/>
      </w:rPr>
    </w:pPr>
    <w:r>
      <w:rPr>
        <w:color w:val="000000"/>
        <w:sz w:val="20"/>
        <w:szCs w:val="20"/>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semiHidden="1"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semiHidden="1" w:unhideWhenUsed="1"/>
    <w:lsdException w:name="TOC Heading" w:uiPriority="62" w:semiHidden="1"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8c0f66"/>
    <w:rPr>
      <w:color w:val="0563C1"/>
      <w:u w:val="single"/>
    </w:rPr>
  </w:style>
  <w:style w:type="character" w:styleId="UnresolvedMention">
    <w:name w:val="Unresolved Mention"/>
    <w:uiPriority w:val="52"/>
    <w:qFormat/>
    <w:rsid w:val="008c0f6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457311"/>
    <w:pPr>
      <w:spacing w:lineRule="auto" w:line="240" w:beforeAutospacing="1" w:afterAutospacing="1"/>
    </w:pPr>
    <w:rPr>
      <w:rFonts w:ascii="Times New Roman" w:hAnsi="Times New Roman" w:eastAsia="Times New Roman"/>
      <w:sz w:val="24"/>
      <w:szCs w:val="24"/>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AA388-546B-4660-92CE-FECA8E76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LibreOffice/6.2.4.2$MacOSX_X86_64 LibreOffice_project/2412653d852ce75f65fbfa83fb7e7b669a126d64</Application>
  <Pages>1</Pages>
  <Words>216</Words>
  <Characters>1285</Characters>
  <CharactersWithSpaces>1501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2019-07-27T01:18:00Z</dcterms:created>
  <dc:creator>Daniel Longhi</dc:creator>
  <dc:description/>
  <dc:language>pt-BR</dc:language>
  <cp:lastModifiedBy/>
  <cp:lastPrinted>2018-06-09T06:38:00Z</cp:lastPrinted>
  <dcterms:modified xsi:type="dcterms:W3CDTF">2021-10-17T17:25:57Z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