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ources-de-collecte-par-pays"/>
    <w:p>
      <w:pPr>
        <w:pStyle w:val="Heading1"/>
      </w:pPr>
      <w:r>
        <w:t xml:space="preserve">Sources de collecte par pays</w:t>
      </w:r>
    </w:p>
    <w:p>
      <w:pPr>
        <w:pStyle w:val="FirstParagraph"/>
      </w:pPr>
      <w:r>
        <w:t xml:space="preserve">Les scrapers collectent les</w:t>
      </w:r>
      <w:r>
        <w:t xml:space="preserve"> </w:t>
      </w:r>
      <w:r>
        <w:rPr>
          <w:bCs/>
          <w:b/>
        </w:rPr>
        <w:t xml:space="preserve">appels d’offres publics et privés</w:t>
      </w:r>
      <w:r>
        <w:t xml:space="preserve"> </w:t>
      </w:r>
      <w:r>
        <w:t xml:space="preserve">depuis les sources officielles de chaque pays couvert. Seuls les métadonnées et le lien vers la source sont conservés — les documents officiels (DAO) ne sont jamais stockés.</w:t>
      </w:r>
    </w:p>
    <w:bookmarkStart w:id="20" w:name="bénin"/>
    <w:p>
      <w:pPr>
        <w:pStyle w:val="Heading2"/>
      </w:pPr>
      <w:r>
        <w:t xml:space="preserve">🇧🇯 Bénin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ARMP Bénin — Autorité de Régulation des Marchés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https://armp.bj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Portail national des marchés publics (SIGMAP/DNCMP)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confirmer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Presse &amp; plateformes privées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</w:tr>
    </w:tbl>
    <w:bookmarkEnd w:id="20"/>
    <w:bookmarkStart w:id="21" w:name="togo"/>
    <w:p>
      <w:pPr>
        <w:pStyle w:val="Heading2"/>
      </w:pPr>
      <w:r>
        <w:t xml:space="preserve">🇹🇬 Togo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ARMP Togo — Autorité de Régulation des Marchés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https://armp.tg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 Nationale du Contrôle des Marchés Publics (DNCMP)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confirmer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Presse &amp; plateformes privées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</w:tr>
    </w:tbl>
    <w:bookmarkEnd w:id="21"/>
    <w:bookmarkStart w:id="22" w:name="côte-divoire"/>
    <w:p>
      <w:pPr>
        <w:pStyle w:val="Heading2"/>
      </w:pPr>
      <w:r>
        <w:t xml:space="preserve">🇨🇮 Côte d’Ivoire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ANRMP — Autorité Nationale de Régulation des Marchés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https://www.anrmp.ci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Portail des marchés publics (DGMP / marchespublics.ci)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confirmer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Presse &amp; plateformes privées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</w:tr>
    </w:tbl>
    <w:bookmarkEnd w:id="22"/>
    <w:bookmarkStart w:id="23" w:name="burkina-faso"/>
    <w:p>
      <w:pPr>
        <w:pStyle w:val="Heading2"/>
      </w:pPr>
      <w:r>
        <w:t xml:space="preserve">🇧🇫 Burkina Faso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2501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DGCMEF — Quotidien des Marchés Publics (PDF officiel quotidien)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publics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https://www.dgcmef.gov.bf/fr/appels-d-offre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DGCMEF — Plans de Passation des Marchés (PPM)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 généraux / planification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https://www.dgcmef.gov.bf/fr/plan-de-passation-des-march-s-publics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UNGM — Nations Unies &amp; organismes internationaux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https://www.ungm.org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Banque Mondiale (World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https://search.worldbank.org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AFD (Agence Française de Développement)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https://afd.dgmarket.com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PNUD Burkina Faso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https://procurement-notices.undp.org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(Banque Africaine de Développement)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https://www.afdb.org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BOAD (Banque Ouest-Africaine de Développement)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https://www.boad.org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Délégation de l’Union Européenne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d’offres privés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https://www.eeas.europa.eu</w:t>
            </w:r>
          </w:p>
        </w:tc>
      </w:tr>
    </w:tbl>
    <w:bookmarkEnd w:id="23"/>
    <w:bookmarkStart w:id="24" w:name="notes-dimplémentation"/>
    <w:p>
      <w:pPr>
        <w:pStyle w:val="Heading2"/>
      </w:pPr>
      <w:r>
        <w:t xml:space="preserve">Notes d’implémentation</w:t>
      </w:r>
    </w:p>
    <w:p>
      <w:pPr>
        <w:numPr>
          <w:ilvl w:val="0"/>
          <w:numId w:val="1001"/>
        </w:numPr>
        <w:pStyle w:val="Compact"/>
      </w:pPr>
      <w:r>
        <w:t xml:space="preserve">Chaque source dispose de son module dédié dans</w:t>
      </w:r>
      <w:r>
        <w:t xml:space="preserve"> </w:t>
      </w:r>
      <w:r>
        <w:rPr>
          <w:rStyle w:val="VerbatimChar"/>
        </w:rPr>
        <w:t xml:space="preserve">scrapers/&lt;pays&gt;/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Fréquence de collecte configurable via</w:t>
      </w:r>
      <w:r>
        <w:t xml:space="preserve"> </w:t>
      </w:r>
      <w:r>
        <w:rPr>
          <w:rStyle w:val="VerbatimChar"/>
        </w:rPr>
        <w:t xml:space="preserve">SCRAPE_INTERVAL_MINUTES</w:t>
      </w:r>
      <w:r>
        <w:t xml:space="preserve"> </w:t>
      </w:r>
      <w:r>
        <w:t xml:space="preserve">(voir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Respect des règles d’usage (robots.txt) et d’un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identifiable.</w:t>
      </w:r>
    </w:p>
    <w:p>
      <w:pPr>
        <w:numPr>
          <w:ilvl w:val="0"/>
          <w:numId w:val="1001"/>
        </w:numPr>
        <w:pStyle w:val="Compact"/>
      </w:pPr>
      <w:r>
        <w:t xml:space="preserve">Les opportunités collectées sont envoyées à l’API interne du backend pour analyse IA et matching.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2026-08-06T11:01:28Z</dcterms:created>
  <dcterms:modified xsi:type="dcterms:W3CDTF">2026-08-06T11:01:28Z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