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64610" w14:textId="0B479C27" w:rsidR="00777A1E" w:rsidRDefault="00777A1E" w:rsidP="00777A1E">
      <w:pPr>
        <w:spacing w:after="0" w:line="240" w:lineRule="auto"/>
        <w:jc w:val="both"/>
        <w:rPr>
          <w:rFonts w:ascii="Times New Roman" w:eastAsia="Times New Roman" w:hAnsi="Times New Roman" w:cs="Times New Roman"/>
          <w:b/>
          <w:bCs/>
          <w:color w:val="000000"/>
          <w:lang w:eastAsia="en-CA"/>
        </w:rPr>
      </w:pPr>
      <w:r>
        <w:rPr>
          <w:rFonts w:ascii="Times New Roman" w:eastAsia="Times New Roman" w:hAnsi="Times New Roman" w:cs="Times New Roman"/>
          <w:b/>
          <w:bCs/>
          <w:color w:val="000000"/>
          <w:lang w:eastAsia="en-CA"/>
        </w:rPr>
        <w:t>Please see Template Replication Report. In what follows, we provide additional information for replications using new data.</w:t>
      </w:r>
    </w:p>
    <w:p w14:paraId="502BA5E7" w14:textId="77777777" w:rsidR="00777A1E" w:rsidRDefault="00777A1E" w:rsidP="00777A1E">
      <w:pPr>
        <w:spacing w:after="0" w:line="240" w:lineRule="auto"/>
        <w:jc w:val="both"/>
        <w:rPr>
          <w:rFonts w:ascii="Times New Roman" w:eastAsia="Times New Roman" w:hAnsi="Times New Roman" w:cs="Times New Roman"/>
          <w:b/>
          <w:bCs/>
          <w:color w:val="000000"/>
          <w:lang w:eastAsia="en-CA"/>
        </w:rPr>
      </w:pPr>
    </w:p>
    <w:p w14:paraId="5165B838" w14:textId="0D4F9A23"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Pr>
          <w:rFonts w:ascii="Times New Roman" w:eastAsia="Times New Roman" w:hAnsi="Times New Roman" w:cs="Times New Roman"/>
          <w:b/>
          <w:bCs/>
          <w:color w:val="000000"/>
          <w:lang w:eastAsia="en-CA"/>
        </w:rPr>
        <w:t>Introduction:</w:t>
      </w:r>
    </w:p>
    <w:p w14:paraId="46591788"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62E8986B" w14:textId="0C9594E2"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If t</w:t>
      </w:r>
      <w:r w:rsidRPr="00777A1E">
        <w:rPr>
          <w:rFonts w:ascii="Times New Roman" w:eastAsia="Times New Roman" w:hAnsi="Times New Roman" w:cs="Times New Roman"/>
          <w:color w:val="000000"/>
          <w:lang w:eastAsia="en-CA"/>
        </w:rPr>
        <w:t>he original paper includes several studies</w:t>
      </w:r>
      <w:r w:rsidRPr="00777A1E">
        <w:rPr>
          <w:rFonts w:ascii="Times New Roman" w:eastAsia="Times New Roman" w:hAnsi="Times New Roman" w:cs="Times New Roman"/>
          <w:color w:val="000000"/>
          <w:lang w:eastAsia="en-CA"/>
        </w:rPr>
        <w:t xml:space="preserve">, please </w:t>
      </w:r>
      <w:proofErr w:type="gramStart"/>
      <w:r w:rsidRPr="00777A1E">
        <w:rPr>
          <w:rFonts w:ascii="Times New Roman" w:eastAsia="Times New Roman" w:hAnsi="Times New Roman" w:cs="Times New Roman"/>
          <w:color w:val="000000"/>
          <w:lang w:eastAsia="en-CA"/>
        </w:rPr>
        <w:t>mention</w:t>
      </w:r>
      <w:proofErr w:type="gramEnd"/>
      <w:r w:rsidRPr="00777A1E">
        <w:rPr>
          <w:rFonts w:ascii="Times New Roman" w:eastAsia="Times New Roman" w:hAnsi="Times New Roman" w:cs="Times New Roman"/>
          <w:color w:val="000000"/>
          <w:lang w:eastAsia="en-CA"/>
        </w:rPr>
        <w:t xml:space="preserve"> and </w:t>
      </w:r>
      <w:r w:rsidRPr="00777A1E">
        <w:rPr>
          <w:rFonts w:ascii="Times New Roman" w:eastAsia="Times New Roman" w:hAnsi="Times New Roman" w:cs="Times New Roman"/>
          <w:color w:val="000000"/>
          <w:lang w:eastAsia="en-CA"/>
        </w:rPr>
        <w:t>describe how</w:t>
      </w:r>
      <w:r w:rsidRPr="00777A1E">
        <w:rPr>
          <w:rFonts w:ascii="Times New Roman" w:eastAsia="Times New Roman" w:hAnsi="Times New Roman" w:cs="Times New Roman"/>
          <w:color w:val="000000"/>
          <w:lang w:eastAsia="en-CA"/>
        </w:rPr>
        <w:t xml:space="preserve"> you</w:t>
      </w:r>
      <w:r w:rsidRPr="00777A1E">
        <w:rPr>
          <w:rFonts w:ascii="Times New Roman" w:eastAsia="Times New Roman" w:hAnsi="Times New Roman" w:cs="Times New Roman"/>
          <w:color w:val="000000"/>
          <w:lang w:eastAsia="en-CA"/>
        </w:rPr>
        <w:t xml:space="preserve"> chose study X. In this between/within-subject experiment, participants are [more here]. We focus on the comparison about [more here if there are multiple comparisons].</w:t>
      </w:r>
    </w:p>
    <w:p w14:paraId="102C1CD0"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075A062C"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Hypothesis to replicate:</w:t>
      </w:r>
      <w:r w:rsidRPr="00777A1E">
        <w:rPr>
          <w:rFonts w:ascii="Times New Roman" w:eastAsia="Times New Roman" w:hAnsi="Times New Roman" w:cs="Times New Roman"/>
          <w:color w:val="000000"/>
          <w:lang w:eastAsia="en-CA"/>
        </w:rPr>
        <w:t xml:space="preserve"> [1-2 sentence description.] The authors test the above hypothesis in a [test result]); p. XX. This test was [describe] picked ...</w:t>
      </w:r>
    </w:p>
    <w:p w14:paraId="23AB78B6"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0442B6D6"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Criteria for replication:</w:t>
      </w:r>
      <w:r w:rsidRPr="00777A1E">
        <w:rPr>
          <w:rFonts w:ascii="Times New Roman" w:eastAsia="Times New Roman" w:hAnsi="Times New Roman" w:cs="Times New Roman"/>
          <w:color w:val="000000"/>
          <w:lang w:eastAsia="en-CA"/>
        </w:rPr>
        <w:t xml:space="preserve"> The criteria for replication are an effect in the same direction as the original study and a </w:t>
      </w:r>
      <w:r w:rsidRPr="00777A1E">
        <w:rPr>
          <w:rFonts w:ascii="Times New Roman" w:eastAsia="Times New Roman" w:hAnsi="Times New Roman" w:cs="Times New Roman"/>
          <w:i/>
          <w:iCs/>
          <w:color w:val="000000"/>
          <w:lang w:eastAsia="en-CA"/>
        </w:rPr>
        <w:t>p</w:t>
      </w:r>
      <w:r w:rsidRPr="00777A1E">
        <w:rPr>
          <w:rFonts w:ascii="Times New Roman" w:eastAsia="Times New Roman" w:hAnsi="Times New Roman" w:cs="Times New Roman"/>
          <w:color w:val="000000"/>
          <w:lang w:eastAsia="en-CA"/>
        </w:rPr>
        <w:t>-value &lt; 0.05 in a two-sided ….</w:t>
      </w:r>
    </w:p>
    <w:p w14:paraId="0E6CE59E"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02B1A8E2"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Power analysis:</w:t>
      </w:r>
      <w:r w:rsidRPr="00777A1E">
        <w:rPr>
          <w:rFonts w:ascii="Times New Roman" w:eastAsia="Times New Roman" w:hAnsi="Times New Roman" w:cs="Times New Roman"/>
          <w:color w:val="000000"/>
          <w:lang w:eastAsia="en-CA"/>
        </w:rPr>
        <w:t xml:space="preserve"> The original study had XX participants. The standardized effect size (Cohen’s </w:t>
      </w:r>
      <w:r w:rsidRPr="00777A1E">
        <w:rPr>
          <w:rFonts w:ascii="Times New Roman" w:eastAsia="Times New Roman" w:hAnsi="Times New Roman" w:cs="Times New Roman"/>
          <w:i/>
          <w:iCs/>
          <w:color w:val="000000"/>
          <w:lang w:eastAsia="en-CA"/>
        </w:rPr>
        <w:t>d</w:t>
      </w:r>
      <w:r w:rsidRPr="00777A1E">
        <w:rPr>
          <w:rFonts w:ascii="Times New Roman" w:eastAsia="Times New Roman" w:hAnsi="Times New Roman" w:cs="Times New Roman"/>
          <w:color w:val="000000"/>
          <w:lang w:eastAsia="en-CA"/>
        </w:rPr>
        <w:t xml:space="preserve">) was </w:t>
      </w:r>
      <w:r w:rsidRPr="00777A1E">
        <w:rPr>
          <w:rFonts w:ascii="Times New Roman" w:eastAsia="Times New Roman" w:hAnsi="Times New Roman" w:cs="Times New Roman"/>
          <w:i/>
          <w:iCs/>
          <w:color w:val="000000"/>
          <w:lang w:eastAsia="en-CA"/>
        </w:rPr>
        <w:t>d</w:t>
      </w:r>
      <w:r w:rsidRPr="00777A1E">
        <w:rPr>
          <w:rFonts w:ascii="Times New Roman" w:eastAsia="Times New Roman" w:hAnsi="Times New Roman" w:cs="Times New Roman"/>
          <w:color w:val="000000"/>
          <w:lang w:eastAsia="en-CA"/>
        </w:rPr>
        <w:t xml:space="preserve"> = </w:t>
      </w:r>
      <w:proofErr w:type="gramStart"/>
      <w:r w:rsidRPr="00777A1E">
        <w:rPr>
          <w:rFonts w:ascii="Times New Roman" w:eastAsia="Times New Roman" w:hAnsi="Times New Roman" w:cs="Times New Roman"/>
          <w:color w:val="000000"/>
          <w:lang w:eastAsia="en-CA"/>
        </w:rPr>
        <w:t>0.XX.</w:t>
      </w:r>
      <w:proofErr w:type="gramEnd"/>
      <w:r w:rsidRPr="00777A1E">
        <w:rPr>
          <w:rFonts w:ascii="Times New Roman" w:eastAsia="Times New Roman" w:hAnsi="Times New Roman" w:cs="Times New Roman"/>
          <w:color w:val="000000"/>
          <w:lang w:eastAsia="en-CA"/>
        </w:rPr>
        <w:t xml:space="preserve"> To have 90% power to detect 67% of the original effect size, a sample size of </w:t>
      </w:r>
      <w:r w:rsidRPr="00777A1E">
        <w:rPr>
          <w:rFonts w:ascii="Times New Roman" w:eastAsia="Times New Roman" w:hAnsi="Times New Roman" w:cs="Times New Roman"/>
          <w:i/>
          <w:iCs/>
          <w:color w:val="000000"/>
          <w:lang w:eastAsia="en-CA"/>
        </w:rPr>
        <w:t>n</w:t>
      </w:r>
      <w:r w:rsidRPr="00777A1E">
        <w:rPr>
          <w:rFonts w:ascii="Times New Roman" w:eastAsia="Times New Roman" w:hAnsi="Times New Roman" w:cs="Times New Roman"/>
          <w:color w:val="000000"/>
          <w:lang w:eastAsia="en-CA"/>
        </w:rPr>
        <w:t xml:space="preserve"> = XX is required. [If the replication sample ends up being smaller than the original one than this can follow: Since we require the replication sample size to be at least as large as in the original study, the replication experiment will use a sample size of </w:t>
      </w:r>
      <w:r w:rsidRPr="00777A1E">
        <w:rPr>
          <w:rFonts w:ascii="Times New Roman" w:eastAsia="Times New Roman" w:hAnsi="Times New Roman" w:cs="Times New Roman"/>
          <w:i/>
          <w:iCs/>
          <w:color w:val="000000"/>
          <w:lang w:eastAsia="en-CA"/>
        </w:rPr>
        <w:t>n</w:t>
      </w:r>
      <w:r w:rsidRPr="00777A1E">
        <w:rPr>
          <w:rFonts w:ascii="Times New Roman" w:eastAsia="Times New Roman" w:hAnsi="Times New Roman" w:cs="Times New Roman"/>
          <w:color w:val="000000"/>
          <w:lang w:eastAsia="en-CA"/>
        </w:rPr>
        <w:t xml:space="preserve"> = xx and the power will thus be &gt;90% to detect 67% of the original effect size.</w:t>
      </w:r>
    </w:p>
    <w:p w14:paraId="74A88857"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00837230"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Sample:</w:t>
      </w:r>
      <w:r w:rsidRPr="00777A1E">
        <w:rPr>
          <w:rFonts w:ascii="Times New Roman" w:eastAsia="Times New Roman" w:hAnsi="Times New Roman" w:cs="Times New Roman"/>
          <w:color w:val="000000"/>
          <w:lang w:eastAsia="en-CA"/>
        </w:rPr>
        <w:t xml:space="preserve"> [To be adapted - here is a template for </w:t>
      </w:r>
      <w:proofErr w:type="spellStart"/>
      <w:r w:rsidRPr="00777A1E">
        <w:rPr>
          <w:rFonts w:ascii="Times New Roman" w:eastAsia="Times New Roman" w:hAnsi="Times New Roman" w:cs="Times New Roman"/>
          <w:color w:val="000000"/>
          <w:lang w:eastAsia="en-CA"/>
        </w:rPr>
        <w:t>MTurk</w:t>
      </w:r>
      <w:proofErr w:type="spellEnd"/>
      <w:r w:rsidRPr="00777A1E">
        <w:rPr>
          <w:rFonts w:ascii="Times New Roman" w:eastAsia="Times New Roman" w:hAnsi="Times New Roman" w:cs="Times New Roman"/>
          <w:color w:val="000000"/>
          <w:lang w:eastAsia="en-CA"/>
        </w:rPr>
        <w:t xml:space="preserve">;] As in the original study, we will restrict our HITs to US participants, participants with a HIT approval rate of 98% or above, and participants who are fully employed at the time they take the survey. We will also check all IP addresses via </w:t>
      </w:r>
      <w:hyperlink r:id="rId4" w:history="1">
        <w:r w:rsidRPr="00777A1E">
          <w:rPr>
            <w:rFonts w:ascii="Times New Roman" w:eastAsia="Times New Roman" w:hAnsi="Times New Roman" w:cs="Times New Roman"/>
            <w:color w:val="00004D"/>
            <w:u w:val="single"/>
            <w:lang w:eastAsia="en-CA"/>
          </w:rPr>
          <w:t>https://www.ipqualityscore.com/</w:t>
        </w:r>
      </w:hyperlink>
      <w:r w:rsidRPr="00777A1E">
        <w:rPr>
          <w:rFonts w:ascii="Times New Roman" w:eastAsia="Times New Roman" w:hAnsi="Times New Roman" w:cs="Times New Roman"/>
          <w:color w:val="000000"/>
          <w:lang w:eastAsia="en-CA"/>
        </w:rPr>
        <w:t>; and we will remove any participants where one or more of the following is true: fraud score &gt;= 85; TOR = True; VPN = True; Bot = True; abuse velocity = high. The replication sample size is the sample size after any exclusions of participants.</w:t>
      </w:r>
    </w:p>
    <w:p w14:paraId="4DC05A4D"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67552505"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Materials:</w:t>
      </w:r>
      <w:r w:rsidRPr="00777A1E">
        <w:rPr>
          <w:rFonts w:ascii="Times New Roman" w:eastAsia="Times New Roman" w:hAnsi="Times New Roman" w:cs="Times New Roman"/>
          <w:color w:val="000000"/>
          <w:lang w:eastAsia="en-CA"/>
        </w:rPr>
        <w:t xml:space="preserve"> We will use the same material as in the original study, adapting the </w:t>
      </w:r>
      <w:proofErr w:type="spellStart"/>
      <w:r w:rsidRPr="00777A1E">
        <w:rPr>
          <w:rFonts w:ascii="Times New Roman" w:eastAsia="Times New Roman" w:hAnsi="Times New Roman" w:cs="Times New Roman"/>
          <w:color w:val="000000"/>
          <w:lang w:eastAsia="en-CA"/>
        </w:rPr>
        <w:t>qsf</w:t>
      </w:r>
      <w:proofErr w:type="spellEnd"/>
      <w:r w:rsidRPr="00777A1E">
        <w:rPr>
          <w:rFonts w:ascii="Times New Roman" w:eastAsia="Times New Roman" w:hAnsi="Times New Roman" w:cs="Times New Roman"/>
          <w:color w:val="000000"/>
          <w:lang w:eastAsia="en-CA"/>
        </w:rPr>
        <w:t xml:space="preserve"> files posted by the original authors. </w:t>
      </w:r>
    </w:p>
    <w:p w14:paraId="487A2F72"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127B0135"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Procedure:</w:t>
      </w:r>
      <w:r w:rsidRPr="00777A1E">
        <w:rPr>
          <w:rFonts w:ascii="Times New Roman" w:eastAsia="Times New Roman" w:hAnsi="Times New Roman" w:cs="Times New Roman"/>
          <w:color w:val="000000"/>
          <w:lang w:eastAsia="en-CA"/>
        </w:rPr>
        <w:t xml:space="preserve"> We will closely follow the procedure of the original experiment. The following summary of the experimental procedure is therefore largely based on the description of the experiment in the article (p. xx) and the section “Materials and Methods” (p. xx).</w:t>
      </w:r>
    </w:p>
    <w:p w14:paraId="13EA0B19" w14:textId="77777777" w:rsidR="00777A1E" w:rsidRPr="00777A1E" w:rsidRDefault="00777A1E" w:rsidP="00777A1E">
      <w:pPr>
        <w:spacing w:after="0" w:line="240" w:lineRule="auto"/>
        <w:rPr>
          <w:rFonts w:ascii="Times New Roman" w:eastAsia="Times New Roman" w:hAnsi="Times New Roman" w:cs="Times New Roman"/>
          <w:sz w:val="24"/>
          <w:szCs w:val="24"/>
          <w:lang w:eastAsia="en-CA"/>
        </w:rPr>
      </w:pPr>
    </w:p>
    <w:p w14:paraId="14B88471"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xml:space="preserve">Participants will first be shown a </w:t>
      </w:r>
      <w:proofErr w:type="gramStart"/>
      <w:r w:rsidRPr="00777A1E">
        <w:rPr>
          <w:rFonts w:ascii="Times New Roman" w:eastAsia="Times New Roman" w:hAnsi="Times New Roman" w:cs="Times New Roman"/>
          <w:color w:val="000000"/>
          <w:lang w:eastAsia="en-CA"/>
        </w:rPr>
        <w:t>Captcha, and</w:t>
      </w:r>
      <w:proofErr w:type="gramEnd"/>
      <w:r w:rsidRPr="00777A1E">
        <w:rPr>
          <w:rFonts w:ascii="Times New Roman" w:eastAsia="Times New Roman" w:hAnsi="Times New Roman" w:cs="Times New Roman"/>
          <w:color w:val="000000"/>
          <w:lang w:eastAsia="en-CA"/>
        </w:rPr>
        <w:t xml:space="preserve"> will thereafter provide informed consent. After this we will include an attention check that participants will need to pass to continue to the study. This attention check is in addition to any other potential attention check(s) used in the original study. Participants will be randomly assigned …</w:t>
      </w:r>
    </w:p>
    <w:p w14:paraId="05BDAC09"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587D8599"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b/>
          <w:bCs/>
          <w:color w:val="000000"/>
          <w:lang w:eastAsia="en-CA"/>
        </w:rPr>
        <w:t>Analysis:</w:t>
      </w:r>
      <w:r w:rsidRPr="00777A1E">
        <w:rPr>
          <w:rFonts w:ascii="Times New Roman" w:eastAsia="Times New Roman" w:hAnsi="Times New Roman" w:cs="Times New Roman"/>
          <w:color w:val="000000"/>
          <w:lang w:eastAsia="en-CA"/>
        </w:rPr>
        <w:t xml:space="preserve"> The analysis will be performed as in the original article. That is, we will …</w:t>
      </w:r>
    </w:p>
    <w:p w14:paraId="627B1E7D" w14:textId="77777777" w:rsidR="00777A1E" w:rsidRPr="00777A1E" w:rsidRDefault="00777A1E" w:rsidP="00777A1E">
      <w:pPr>
        <w:spacing w:after="0" w:line="240" w:lineRule="auto"/>
        <w:jc w:val="both"/>
        <w:rPr>
          <w:rFonts w:ascii="Times New Roman" w:eastAsia="Times New Roman" w:hAnsi="Times New Roman" w:cs="Times New Roman"/>
          <w:sz w:val="24"/>
          <w:szCs w:val="24"/>
          <w:lang w:eastAsia="en-CA"/>
        </w:rPr>
      </w:pPr>
      <w:r w:rsidRPr="00777A1E">
        <w:rPr>
          <w:rFonts w:ascii="Times New Roman" w:eastAsia="Times New Roman" w:hAnsi="Times New Roman" w:cs="Times New Roman"/>
          <w:color w:val="000000"/>
          <w:lang w:eastAsia="en-CA"/>
        </w:rPr>
        <w:t> </w:t>
      </w:r>
    </w:p>
    <w:p w14:paraId="3B7AEBB3" w14:textId="284D8E6F" w:rsidR="0045364F" w:rsidRDefault="00777A1E" w:rsidP="00777A1E">
      <w:r w:rsidRPr="00777A1E">
        <w:rPr>
          <w:rFonts w:ascii="Times New Roman" w:eastAsia="Times New Roman" w:hAnsi="Times New Roman" w:cs="Times New Roman"/>
          <w:b/>
          <w:bCs/>
          <w:color w:val="000000"/>
          <w:lang w:eastAsia="en-CA"/>
        </w:rPr>
        <w:t>Subject payment:</w:t>
      </w:r>
      <w:r w:rsidRPr="00777A1E">
        <w:rPr>
          <w:rFonts w:ascii="Times New Roman" w:eastAsia="Times New Roman" w:hAnsi="Times New Roman" w:cs="Times New Roman"/>
          <w:color w:val="000000"/>
          <w:lang w:eastAsia="en-CA"/>
        </w:rPr>
        <w:t xml:space="preserve"> We are standardizing payments across all replications so that studies have a certain show-up fee depending on the expected length of the study, with an hourly wage from the show-up fee of $x and a minimum payment of $1 (for studies with incentive payment we use the same incentive payment as in the original study; and this payment is paid in addition to the show-up fee). If we have problems recruiting, we will increase the show-up fee.</w:t>
      </w:r>
    </w:p>
    <w:sectPr w:rsidR="004536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1E"/>
    <w:rsid w:val="000548E0"/>
    <w:rsid w:val="00221B89"/>
    <w:rsid w:val="00777A1E"/>
    <w:rsid w:val="00A00A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8D90"/>
  <w15:chartTrackingRefBased/>
  <w15:docId w15:val="{596E6CB9-9399-4053-AE22-9982F6E7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A1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777A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1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pqualitysco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Brodeur</dc:creator>
  <cp:keywords/>
  <dc:description/>
  <cp:lastModifiedBy>Abel Brodeur</cp:lastModifiedBy>
  <cp:revision>1</cp:revision>
  <dcterms:created xsi:type="dcterms:W3CDTF">2024-01-26T14:40:00Z</dcterms:created>
  <dcterms:modified xsi:type="dcterms:W3CDTF">2024-01-26T14:46:00Z</dcterms:modified>
</cp:coreProperties>
</file>