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D42D" w14:textId="77777777" w:rsidR="00967DF7" w:rsidRPr="005D76C9" w:rsidRDefault="00000000">
      <w:pPr>
        <w:spacing w:after="80"/>
        <w:rPr>
          <w:lang w:val="en-US"/>
        </w:rPr>
      </w:pPr>
      <w:r w:rsidRPr="005D76C9">
        <w:rPr>
          <w:b/>
          <w:bCs/>
          <w:color w:val="1E2761"/>
          <w:sz w:val="44"/>
          <w:szCs w:val="44"/>
          <w:lang w:val="en-US"/>
        </w:rPr>
        <w:t>Reading List – Assignment</w:t>
      </w:r>
    </w:p>
    <w:p w14:paraId="54662E97" w14:textId="5034950C" w:rsidR="00967DF7" w:rsidRDefault="00000000" w:rsidP="005D76C9">
      <w:pPr>
        <w:spacing w:after="40"/>
        <w:rPr>
          <w:color w:val="5A6172"/>
          <w:sz w:val="26"/>
          <w:szCs w:val="26"/>
          <w:lang w:val="en-US"/>
        </w:rPr>
      </w:pPr>
      <w:r w:rsidRPr="005D76C9">
        <w:rPr>
          <w:color w:val="5A6172"/>
          <w:sz w:val="26"/>
          <w:szCs w:val="26"/>
          <w:lang w:val="en-US"/>
        </w:rPr>
        <w:t xml:space="preserve">PhD Mini-Course on Overlapping Generations </w:t>
      </w:r>
    </w:p>
    <w:p w14:paraId="119CC97B" w14:textId="77777777" w:rsidR="005D76C9" w:rsidRPr="005D76C9" w:rsidRDefault="005D76C9" w:rsidP="005D76C9">
      <w:pPr>
        <w:spacing w:after="40"/>
        <w:rPr>
          <w:lang w:val="en-US"/>
        </w:rPr>
      </w:pPr>
    </w:p>
    <w:p w14:paraId="6F164645" w14:textId="56B339C3" w:rsidR="00967DF7" w:rsidRPr="005D76C9" w:rsidRDefault="00000000">
      <w:pPr>
        <w:spacing w:before="80" w:after="240"/>
        <w:rPr>
          <w:lang w:val="en-US"/>
        </w:rPr>
      </w:pPr>
      <w:r w:rsidRPr="005D76C9">
        <w:rPr>
          <w:lang w:val="en-US"/>
        </w:rPr>
        <w:t xml:space="preserve">Each entry below gives the full citation, a link to the article, and (where available) a link to the replication package. Pick the paper that best aligns with your research interests; the assignment is to read it carefully and to reproduce </w:t>
      </w:r>
      <w:r w:rsidR="005D76C9">
        <w:rPr>
          <w:lang w:val="en-US"/>
        </w:rPr>
        <w:t>one or more</w:t>
      </w:r>
      <w:r w:rsidRPr="005D76C9">
        <w:rPr>
          <w:lang w:val="en-US"/>
        </w:rPr>
        <w:t xml:space="preserve"> core result</w:t>
      </w:r>
      <w:r w:rsidR="005D76C9">
        <w:rPr>
          <w:lang w:val="en-US"/>
        </w:rPr>
        <w:t>s</w:t>
      </w:r>
      <w:r w:rsidRPr="005D76C9">
        <w:rPr>
          <w:lang w:val="en-US"/>
        </w:rPr>
        <w:t xml:space="preserve"> from the replication code</w:t>
      </w:r>
      <w:r w:rsidR="005D76C9">
        <w:rPr>
          <w:lang w:val="en-US"/>
        </w:rPr>
        <w:t xml:space="preserve"> and extend the analysis in one of possible directions (modifying the theoretical model, doing robustness analysis, calibrating with data of a different countries, etc,…)</w:t>
      </w:r>
    </w:p>
    <w:p w14:paraId="4492C917" w14:textId="77777777" w:rsidR="00967DF7" w:rsidRPr="005D76C9" w:rsidRDefault="00000000">
      <w:pPr>
        <w:pBdr>
          <w:bottom w:val="single" w:sz="8" w:space="4" w:color="1E2761"/>
        </w:pBdr>
        <w:spacing w:before="320" w:after="160"/>
        <w:rPr>
          <w:lang w:val="en-US"/>
        </w:rPr>
      </w:pPr>
      <w:r w:rsidRPr="005D76C9">
        <w:rPr>
          <w:b/>
          <w:bCs/>
          <w:color w:val="1E2761"/>
          <w:sz w:val="26"/>
          <w:szCs w:val="26"/>
          <w:lang w:val="en-US"/>
        </w:rPr>
        <w:t>1. Social Security and Transition</w:t>
      </w:r>
    </w:p>
    <w:p w14:paraId="4E39534B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1. </w:t>
      </w:r>
      <w:r w:rsidRPr="005D76C9">
        <w:rPr>
          <w:lang w:val="en-US"/>
        </w:rPr>
        <w:t xml:space="preserve">Song, Z., Storesletten, K., Wang, Y., and Zilibotti, F. (2015). </w:t>
      </w:r>
      <w:r w:rsidRPr="005D76C9">
        <w:rPr>
          <w:b/>
          <w:bCs/>
          <w:lang w:val="en-US"/>
        </w:rPr>
        <w:t xml:space="preserve">Sharing High Growth across Generations: Pensions and Demographic Transition in China. </w:t>
      </w:r>
      <w:r w:rsidRPr="005D76C9">
        <w:rPr>
          <w:i/>
          <w:iCs/>
          <w:lang w:val="en-US"/>
        </w:rPr>
        <w:t>American Economic Journal: Macroeconomics, 7(2), 1–39</w:t>
      </w:r>
      <w:r w:rsidRPr="005D76C9">
        <w:rPr>
          <w:lang w:val="en-US"/>
        </w:rPr>
        <w:t>.</w:t>
      </w:r>
    </w:p>
    <w:p w14:paraId="083D3938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7" w:history="1">
        <w:r w:rsidRPr="005D76C9">
          <w:rPr>
            <w:rStyle w:val="Collegamentoipertestuale"/>
            <w:lang w:val="en-US"/>
          </w:rPr>
          <w:t>https://www.aeaweb.org/articles?id=10.1257/mac.20130322</w:t>
        </w:r>
      </w:hyperlink>
    </w:p>
    <w:p w14:paraId="2FC8CC12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hyperlink r:id="rId8" w:history="1">
        <w:r w:rsidRPr="005D76C9">
          <w:rPr>
            <w:rStyle w:val="Collegamentoipertestuale"/>
            <w:lang w:val="en-US"/>
          </w:rPr>
          <w:t>https://www.openicpsr.org/openicpsr/project/231500/version/V1/view</w:t>
        </w:r>
      </w:hyperlink>
    </w:p>
    <w:p w14:paraId="4549A741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2. </w:t>
      </w:r>
      <w:r w:rsidRPr="005D76C9">
        <w:rPr>
          <w:lang w:val="en-US"/>
        </w:rPr>
        <w:t xml:space="preserve">Daminato, C. and Padula, M. (2024). </w:t>
      </w:r>
      <w:r w:rsidRPr="005D76C9">
        <w:rPr>
          <w:b/>
          <w:bCs/>
          <w:lang w:val="en-US"/>
        </w:rPr>
        <w:t xml:space="preserve">The Life-Cycle Effects of Pension Reforms: A Structural Approach. </w:t>
      </w:r>
      <w:r w:rsidRPr="005D76C9">
        <w:rPr>
          <w:i/>
          <w:iCs/>
          <w:lang w:val="en-US"/>
        </w:rPr>
        <w:t>Journal of the European Economic Association, 22(1), 355–392</w:t>
      </w:r>
      <w:r w:rsidRPr="005D76C9">
        <w:rPr>
          <w:lang w:val="en-US"/>
        </w:rPr>
        <w:t>.</w:t>
      </w:r>
    </w:p>
    <w:p w14:paraId="35A244DA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9" w:history="1">
        <w:r w:rsidRPr="005D76C9">
          <w:rPr>
            <w:rStyle w:val="Collegamentoipertestuale"/>
            <w:lang w:val="en-US"/>
          </w:rPr>
          <w:t>https://doi.org/10.1093/jeea/jvad049</w:t>
        </w:r>
      </w:hyperlink>
    </w:p>
    <w:p w14:paraId="2D3829AD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r w:rsidRPr="005D76C9">
        <w:rPr>
          <w:sz w:val="20"/>
          <w:szCs w:val="20"/>
          <w:lang w:val="en-US"/>
        </w:rPr>
        <w:t>Available as a zip file under the Supplementary Data tab at the link above.</w:t>
      </w:r>
    </w:p>
    <w:p w14:paraId="5EA39A74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3. </w:t>
      </w:r>
      <w:r w:rsidRPr="005D76C9">
        <w:rPr>
          <w:lang w:val="en-US"/>
        </w:rPr>
        <w:t xml:space="preserve">İmrohoroğlu, A., İmrohoroğlu, S., and Joines, D. H. (1995). </w:t>
      </w:r>
      <w:r w:rsidRPr="005D76C9">
        <w:rPr>
          <w:b/>
          <w:bCs/>
          <w:lang w:val="en-US"/>
        </w:rPr>
        <w:t xml:space="preserve">A Life-Cycle Analysis of Social Security. </w:t>
      </w:r>
      <w:r w:rsidRPr="005D76C9">
        <w:rPr>
          <w:i/>
          <w:iCs/>
          <w:lang w:val="en-US"/>
        </w:rPr>
        <w:t>Economic Theory, 6(1), 83–114</w:t>
      </w:r>
      <w:r w:rsidRPr="005D76C9">
        <w:rPr>
          <w:lang w:val="en-US"/>
        </w:rPr>
        <w:t>.</w:t>
      </w:r>
    </w:p>
    <w:p w14:paraId="45692E5B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10" w:history="1">
        <w:r w:rsidRPr="005D76C9">
          <w:rPr>
            <w:rStyle w:val="Collegamentoipertestuale"/>
            <w:lang w:val="en-US"/>
          </w:rPr>
          <w:t>https://link.springer.com/article/10.1007/BF01213942</w:t>
        </w:r>
      </w:hyperlink>
    </w:p>
    <w:p w14:paraId="6F242735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hyperlink r:id="rId11" w:history="1">
        <w:r w:rsidRPr="005D76C9">
          <w:rPr>
            <w:rStyle w:val="Collegamentoipertestuale"/>
            <w:lang w:val="en-US"/>
          </w:rPr>
          <w:t>https://github.com/robertdkirkby/LifeCycleOLGReadingList</w:t>
        </w:r>
      </w:hyperlink>
    </w:p>
    <w:p w14:paraId="59010766" w14:textId="77777777" w:rsidR="00967DF7" w:rsidRPr="005D76C9" w:rsidRDefault="00000000">
      <w:pPr>
        <w:spacing w:before="40" w:after="40"/>
        <w:ind w:left="360"/>
        <w:rPr>
          <w:lang w:val="en-US"/>
        </w:rPr>
      </w:pPr>
      <w:r w:rsidRPr="005D76C9">
        <w:rPr>
          <w:i/>
          <w:iCs/>
          <w:color w:val="5A6172"/>
          <w:sz w:val="20"/>
          <w:szCs w:val="20"/>
          <w:lang w:val="en-US"/>
        </w:rPr>
        <w:t>Note: the linked repository contains replication packages for several foundational life-cycle / OLG papers. Feel free to browse and pick the one most aligned with your interests.</w:t>
      </w:r>
    </w:p>
    <w:p w14:paraId="1785CAAB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4. </w:t>
      </w:r>
      <w:r w:rsidRPr="005D76C9">
        <w:rPr>
          <w:lang w:val="en-US"/>
        </w:rPr>
        <w:t xml:space="preserve">Krueger, D. and Kubler, F. (2006). </w:t>
      </w:r>
      <w:r w:rsidRPr="005D76C9">
        <w:rPr>
          <w:b/>
          <w:bCs/>
          <w:lang w:val="en-US"/>
        </w:rPr>
        <w:t xml:space="preserve">Pareto-Improving Social Security Reform when Financial Markets are Incomplete!? </w:t>
      </w:r>
      <w:r w:rsidRPr="005D76C9">
        <w:rPr>
          <w:i/>
          <w:iCs/>
          <w:lang w:val="en-US"/>
        </w:rPr>
        <w:t>American Economic Review, 96(3), 737–755</w:t>
      </w:r>
      <w:r w:rsidRPr="005D76C9">
        <w:rPr>
          <w:lang w:val="en-US"/>
        </w:rPr>
        <w:t>.</w:t>
      </w:r>
    </w:p>
    <w:p w14:paraId="02BCCA35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12" w:history="1">
        <w:r w:rsidRPr="005D76C9">
          <w:rPr>
            <w:rStyle w:val="Collegamentoipertestuale"/>
            <w:lang w:val="en-US"/>
          </w:rPr>
          <w:t>https://www.aeaweb.org/articles?id=10.1257/aer.96.3.737</w:t>
        </w:r>
      </w:hyperlink>
    </w:p>
    <w:p w14:paraId="1FA5FCB1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hyperlink r:id="rId13" w:history="1">
        <w:r w:rsidRPr="005D76C9">
          <w:rPr>
            <w:rStyle w:val="Collegamentoipertestuale"/>
            <w:lang w:val="en-US"/>
          </w:rPr>
          <w:t>https://doi.org/10.3886/E116222V1</w:t>
        </w:r>
      </w:hyperlink>
    </w:p>
    <w:p w14:paraId="3DDBD6F0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5. </w:t>
      </w:r>
      <w:r w:rsidRPr="005D76C9">
        <w:rPr>
          <w:lang w:val="en-US"/>
        </w:rPr>
        <w:t xml:space="preserve">Díaz-Saavedra, J., Marimon, R., and Brogueira de Sousa, J. (2023). </w:t>
      </w:r>
      <w:r w:rsidRPr="005D76C9">
        <w:rPr>
          <w:b/>
          <w:bCs/>
          <w:lang w:val="en-US"/>
        </w:rPr>
        <w:t xml:space="preserve">A Worker’s Backpack as an Alternative to PAYG Pension Systems. </w:t>
      </w:r>
      <w:r w:rsidRPr="005D76C9">
        <w:rPr>
          <w:i/>
          <w:iCs/>
          <w:lang w:val="en-US"/>
        </w:rPr>
        <w:t>Journal of the European Economic Association, 21(5), 1944–1993</w:t>
      </w:r>
      <w:r w:rsidRPr="005D76C9">
        <w:rPr>
          <w:lang w:val="en-US"/>
        </w:rPr>
        <w:t>.</w:t>
      </w:r>
    </w:p>
    <w:p w14:paraId="35D18E5A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14" w:history="1">
        <w:r w:rsidRPr="005D76C9">
          <w:rPr>
            <w:rStyle w:val="Collegamentoipertestuale"/>
            <w:lang w:val="en-US"/>
          </w:rPr>
          <w:t>https://academic.oup.com/jeea/article-abstract/21/5/1944/7100964</w:t>
        </w:r>
      </w:hyperlink>
    </w:p>
    <w:p w14:paraId="434EF261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r w:rsidRPr="005D76C9">
        <w:rPr>
          <w:sz w:val="20"/>
          <w:szCs w:val="20"/>
          <w:lang w:val="en-US"/>
        </w:rPr>
        <w:t>Available as a zip file under the Supplementary Data tab at the link above.</w:t>
      </w:r>
    </w:p>
    <w:p w14:paraId="46B54B5B" w14:textId="77777777" w:rsidR="00967DF7" w:rsidRPr="005D76C9" w:rsidRDefault="00000000">
      <w:pPr>
        <w:pBdr>
          <w:bottom w:val="single" w:sz="8" w:space="4" w:color="1E2761"/>
        </w:pBdr>
        <w:spacing w:before="320" w:after="160"/>
        <w:rPr>
          <w:lang w:val="en-US"/>
        </w:rPr>
      </w:pPr>
      <w:r w:rsidRPr="005D76C9">
        <w:rPr>
          <w:b/>
          <w:bCs/>
          <w:color w:val="1E2761"/>
          <w:sz w:val="26"/>
          <w:szCs w:val="26"/>
          <w:lang w:val="en-US"/>
        </w:rPr>
        <w:t>2. Life-Cycle</w:t>
      </w:r>
    </w:p>
    <w:p w14:paraId="3418ACEA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6. </w:t>
      </w:r>
      <w:r w:rsidRPr="005D76C9">
        <w:rPr>
          <w:lang w:val="en-US"/>
        </w:rPr>
        <w:t xml:space="preserve">Capatina, E. and Keane, M. (2025). </w:t>
      </w:r>
      <w:r w:rsidRPr="005D76C9">
        <w:rPr>
          <w:b/>
          <w:bCs/>
          <w:lang w:val="en-US"/>
        </w:rPr>
        <w:t xml:space="preserve">Health Shocks, Health Insurance, Human Capital, and the Dynamics of Earnings and Health. </w:t>
      </w:r>
      <w:r w:rsidRPr="005D76C9">
        <w:rPr>
          <w:i/>
          <w:iCs/>
          <w:lang w:val="en-US"/>
        </w:rPr>
        <w:t>Journal of Political Economy, forthcoming</w:t>
      </w:r>
      <w:r w:rsidRPr="005D76C9">
        <w:rPr>
          <w:lang w:val="en-US"/>
        </w:rPr>
        <w:t>.</w:t>
      </w:r>
    </w:p>
    <w:p w14:paraId="31AE5218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15" w:history="1">
        <w:r w:rsidRPr="005D76C9">
          <w:rPr>
            <w:rStyle w:val="Collegamentoipertestuale"/>
            <w:lang w:val="en-US"/>
          </w:rPr>
          <w:t>https://www.journals.uchicago.edu/doi/abs/10.1086/739831</w:t>
        </w:r>
      </w:hyperlink>
    </w:p>
    <w:p w14:paraId="07902855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hyperlink r:id="rId16" w:history="1">
        <w:r w:rsidRPr="005D76C9">
          <w:rPr>
            <w:rStyle w:val="Collegamentoipertestuale"/>
            <w:lang w:val="en-US"/>
          </w:rPr>
          <w:t>https://dataverse.harvard.edu/dataset.xhtml?persistentId=doi:10.7910/DVN/MXVRFI</w:t>
        </w:r>
      </w:hyperlink>
    </w:p>
    <w:p w14:paraId="4067EE8A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7. </w:t>
      </w:r>
      <w:r w:rsidRPr="005D76C9">
        <w:rPr>
          <w:lang w:val="en-US"/>
        </w:rPr>
        <w:t xml:space="preserve">Peterman, W. B. and Sager, E. (2022). </w:t>
      </w:r>
      <w:r w:rsidRPr="005D76C9">
        <w:rPr>
          <w:b/>
          <w:bCs/>
          <w:lang w:val="en-US"/>
        </w:rPr>
        <w:t xml:space="preserve">Optimal Public Debt with Life Cycle Motives. </w:t>
      </w:r>
      <w:r w:rsidRPr="005D76C9">
        <w:rPr>
          <w:i/>
          <w:iCs/>
          <w:lang w:val="en-US"/>
        </w:rPr>
        <w:t>American Economic Journal: Macroeconomics, 14(4), 404–437</w:t>
      </w:r>
      <w:r w:rsidRPr="005D76C9">
        <w:rPr>
          <w:lang w:val="en-US"/>
        </w:rPr>
        <w:t>.</w:t>
      </w:r>
    </w:p>
    <w:p w14:paraId="6E36FDAB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17" w:history="1">
        <w:r w:rsidRPr="005D76C9">
          <w:rPr>
            <w:rStyle w:val="Collegamentoipertestuale"/>
            <w:lang w:val="en-US"/>
          </w:rPr>
          <w:t>https://www.aeaweb.org/articles?id=10.1257/mac.20180247</w:t>
        </w:r>
      </w:hyperlink>
    </w:p>
    <w:p w14:paraId="4EAE8BA5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lastRenderedPageBreak/>
        <w:t xml:space="preserve">Replication Package:  </w:t>
      </w:r>
      <w:hyperlink r:id="rId18" w:history="1">
        <w:r w:rsidRPr="005D76C9">
          <w:rPr>
            <w:rStyle w:val="Collegamentoipertestuale"/>
            <w:lang w:val="en-US"/>
          </w:rPr>
          <w:t>https://www.openicpsr.org/openicpsr/project/141661/version/V1/view</w:t>
        </w:r>
      </w:hyperlink>
    </w:p>
    <w:p w14:paraId="193022F8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8. </w:t>
      </w:r>
      <w:r w:rsidRPr="005D76C9">
        <w:rPr>
          <w:lang w:val="en-US"/>
        </w:rPr>
        <w:t xml:space="preserve">Brumm, J., Feng, X., Kotlikoff, L., and Kubler, F. (2024). </w:t>
      </w:r>
      <w:r w:rsidRPr="005D76C9">
        <w:rPr>
          <w:b/>
          <w:bCs/>
          <w:lang w:val="en-US"/>
        </w:rPr>
        <w:t xml:space="preserve">When Interest Rates Go Low, Should Public Debt Go High? </w:t>
      </w:r>
      <w:r w:rsidRPr="005D76C9">
        <w:rPr>
          <w:i/>
          <w:iCs/>
          <w:lang w:val="en-US"/>
        </w:rPr>
        <w:t>American Economic Journal: Macroeconomics, 16(4), 432–469</w:t>
      </w:r>
      <w:r w:rsidRPr="005D76C9">
        <w:rPr>
          <w:lang w:val="en-US"/>
        </w:rPr>
        <w:t>.</w:t>
      </w:r>
    </w:p>
    <w:p w14:paraId="66BA3864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19" w:history="1">
        <w:r w:rsidRPr="005D76C9">
          <w:rPr>
            <w:rStyle w:val="Collegamentoipertestuale"/>
            <w:lang w:val="en-US"/>
          </w:rPr>
          <w:t>https://www.aeaweb.org/articles?id=10.1257/mac.20230154</w:t>
        </w:r>
      </w:hyperlink>
    </w:p>
    <w:p w14:paraId="11124C4B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hyperlink r:id="rId20" w:history="1">
        <w:r w:rsidRPr="005D76C9">
          <w:rPr>
            <w:rStyle w:val="Collegamentoipertestuale"/>
            <w:lang w:val="en-US"/>
          </w:rPr>
          <w:t>https://doi.org/10.3886/E193801V1</w:t>
        </w:r>
      </w:hyperlink>
    </w:p>
    <w:p w14:paraId="0605854F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>
        <w:rPr>
          <w:b/>
          <w:bCs/>
          <w:color w:val="1E2761"/>
        </w:rPr>
        <w:t xml:space="preserve">9. </w:t>
      </w:r>
      <w:r>
        <w:t xml:space="preserve">Bielecki, M., Brzoza-Brzezina, M., and Kolasa, M. (2022). </w:t>
      </w:r>
      <w:r w:rsidRPr="005D76C9">
        <w:rPr>
          <w:b/>
          <w:bCs/>
          <w:lang w:val="en-US"/>
        </w:rPr>
        <w:t xml:space="preserve">Intergenerational Redistributive Effects of Monetary Policy. </w:t>
      </w:r>
      <w:r w:rsidRPr="005D76C9">
        <w:rPr>
          <w:i/>
          <w:iCs/>
          <w:lang w:val="en-US"/>
        </w:rPr>
        <w:t>Journal of the European Economic Association, 20(2), 549–580</w:t>
      </w:r>
      <w:r w:rsidRPr="005D76C9">
        <w:rPr>
          <w:lang w:val="en-US"/>
        </w:rPr>
        <w:t>.</w:t>
      </w:r>
    </w:p>
    <w:p w14:paraId="1CD7D3AF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21" w:history="1">
        <w:r w:rsidRPr="005D76C9">
          <w:rPr>
            <w:rStyle w:val="Collegamentoipertestuale"/>
            <w:lang w:val="en-US"/>
          </w:rPr>
          <w:t>https://academic.oup.com/jeea/article/20/2/549/6316113</w:t>
        </w:r>
      </w:hyperlink>
    </w:p>
    <w:p w14:paraId="1EE0ABF4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r w:rsidRPr="005D76C9">
        <w:rPr>
          <w:sz w:val="20"/>
          <w:szCs w:val="20"/>
          <w:lang w:val="en-US"/>
        </w:rPr>
        <w:t>Available as a zip file under the Supplementary Data tab at the link above.</w:t>
      </w:r>
    </w:p>
    <w:p w14:paraId="2C317F24" w14:textId="77777777" w:rsidR="00967DF7" w:rsidRPr="005D76C9" w:rsidRDefault="00000000">
      <w:pPr>
        <w:pBdr>
          <w:bottom w:val="single" w:sz="8" w:space="4" w:color="1E2761"/>
        </w:pBdr>
        <w:spacing w:before="320" w:after="160"/>
        <w:rPr>
          <w:lang w:val="en-US"/>
        </w:rPr>
      </w:pPr>
      <w:r w:rsidRPr="005D76C9">
        <w:rPr>
          <w:b/>
          <w:bCs/>
          <w:color w:val="1E2761"/>
          <w:sz w:val="26"/>
          <w:szCs w:val="26"/>
          <w:lang w:val="en-US"/>
        </w:rPr>
        <w:t>3. OLG and Limited Commitment</w:t>
      </w:r>
    </w:p>
    <w:p w14:paraId="01E75735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10. </w:t>
      </w:r>
      <w:r w:rsidRPr="005D76C9">
        <w:rPr>
          <w:lang w:val="en-US"/>
        </w:rPr>
        <w:t xml:space="preserve">Lancia, F., Russo, A., and Worrall, T. (2024). </w:t>
      </w:r>
      <w:r w:rsidRPr="005D76C9">
        <w:rPr>
          <w:b/>
          <w:bCs/>
          <w:lang w:val="en-US"/>
        </w:rPr>
        <w:t xml:space="preserve">Intergenerational Insurance. </w:t>
      </w:r>
      <w:r w:rsidRPr="005D76C9">
        <w:rPr>
          <w:i/>
          <w:iCs/>
          <w:lang w:val="en-US"/>
        </w:rPr>
        <w:t>Journal of Political Economy, 132(10), 3500–3544</w:t>
      </w:r>
      <w:r w:rsidRPr="005D76C9">
        <w:rPr>
          <w:lang w:val="en-US"/>
        </w:rPr>
        <w:t>.</w:t>
      </w:r>
    </w:p>
    <w:p w14:paraId="2309388A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22" w:history="1">
        <w:r w:rsidRPr="005D76C9">
          <w:rPr>
            <w:rStyle w:val="Collegamentoipertestuale"/>
            <w:lang w:val="en-US"/>
          </w:rPr>
          <w:t>https://www.journals.uchicago.edu/doi/10.1086/730206</w:t>
        </w:r>
      </w:hyperlink>
    </w:p>
    <w:p w14:paraId="33CAC706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Replication Package:  </w:t>
      </w:r>
      <w:hyperlink r:id="rId23" w:history="1">
        <w:r w:rsidRPr="005D76C9">
          <w:rPr>
            <w:rStyle w:val="Collegamentoipertestuale"/>
            <w:lang w:val="en-US"/>
          </w:rPr>
          <w:t>https://dataverse.harvard.edu/dataset.xhtml?persistentId=doi:10.7910/DVN/XDBGVY</w:t>
        </w:r>
      </w:hyperlink>
    </w:p>
    <w:p w14:paraId="05420734" w14:textId="77777777" w:rsidR="00967DF7" w:rsidRPr="005D76C9" w:rsidRDefault="00000000">
      <w:pPr>
        <w:pBdr>
          <w:bottom w:val="single" w:sz="8" w:space="4" w:color="1E2761"/>
        </w:pBdr>
        <w:spacing w:before="320" w:after="160"/>
        <w:rPr>
          <w:lang w:val="en-US"/>
        </w:rPr>
      </w:pPr>
      <w:r w:rsidRPr="005D76C9">
        <w:rPr>
          <w:b/>
          <w:bCs/>
          <w:color w:val="1E2761"/>
          <w:sz w:val="26"/>
          <w:szCs w:val="26"/>
          <w:lang w:val="en-US"/>
        </w:rPr>
        <w:t>4. Fiscal and Monetary Coordination</w:t>
      </w:r>
    </w:p>
    <w:p w14:paraId="511AF715" w14:textId="77777777" w:rsidR="00967DF7" w:rsidRPr="005D76C9" w:rsidRDefault="00000000">
      <w:pPr>
        <w:spacing w:before="200" w:after="60"/>
        <w:ind w:left="360" w:hanging="360"/>
        <w:rPr>
          <w:lang w:val="en-US"/>
        </w:rPr>
      </w:pPr>
      <w:r w:rsidRPr="005D76C9">
        <w:rPr>
          <w:b/>
          <w:bCs/>
          <w:color w:val="1E2761"/>
          <w:lang w:val="en-US"/>
        </w:rPr>
        <w:t xml:space="preserve">11. </w:t>
      </w:r>
      <w:r w:rsidRPr="005D76C9">
        <w:rPr>
          <w:lang w:val="en-US"/>
        </w:rPr>
        <w:t xml:space="preserve">Farmer, R. and Zabczyk, P. (2024). </w:t>
      </w:r>
      <w:r w:rsidRPr="005D76C9">
        <w:rPr>
          <w:b/>
          <w:bCs/>
          <w:lang w:val="en-US"/>
        </w:rPr>
        <w:t xml:space="preserve">Monetary and Fiscal Policy when People have Finite Lives. </w:t>
      </w:r>
      <w:r w:rsidRPr="005D76C9">
        <w:rPr>
          <w:i/>
          <w:iCs/>
          <w:lang w:val="en-US"/>
        </w:rPr>
        <w:t>Working paper</w:t>
      </w:r>
      <w:r w:rsidRPr="005D76C9">
        <w:rPr>
          <w:lang w:val="en-US"/>
        </w:rPr>
        <w:t>.</w:t>
      </w:r>
    </w:p>
    <w:p w14:paraId="1285CC61" w14:textId="77777777" w:rsidR="00967DF7" w:rsidRPr="005D76C9" w:rsidRDefault="00000000">
      <w:pPr>
        <w:spacing w:after="40"/>
        <w:ind w:left="360"/>
        <w:rPr>
          <w:lang w:val="en-US"/>
        </w:rPr>
      </w:pPr>
      <w:r w:rsidRPr="005D76C9">
        <w:rPr>
          <w:b/>
          <w:bCs/>
          <w:color w:val="5A6172"/>
          <w:sz w:val="20"/>
          <w:szCs w:val="20"/>
          <w:lang w:val="en-US"/>
        </w:rPr>
        <w:t xml:space="preserve">Link:  </w:t>
      </w:r>
      <w:hyperlink r:id="rId24" w:history="1">
        <w:r w:rsidRPr="005D76C9">
          <w:rPr>
            <w:rStyle w:val="Collegamentoipertestuale"/>
            <w:lang w:val="en-US"/>
          </w:rPr>
          <w:t>Monetary_and_Fiscal_Policy_with_Finite_Lives.pdf</w:t>
        </w:r>
      </w:hyperlink>
    </w:p>
    <w:sectPr w:rsidR="00967DF7" w:rsidRPr="005D76C9">
      <w:headerReference w:type="default" r:id="rId25"/>
      <w:footerReference w:type="default" r:id="rId2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9253E" w14:textId="77777777" w:rsidR="00347FE3" w:rsidRDefault="00347FE3">
      <w:r>
        <w:separator/>
      </w:r>
    </w:p>
  </w:endnote>
  <w:endnote w:type="continuationSeparator" w:id="0">
    <w:p w14:paraId="4D7C6614" w14:textId="77777777" w:rsidR="00347FE3" w:rsidRDefault="00347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B13C" w14:textId="77777777" w:rsidR="00967DF7" w:rsidRDefault="00000000">
    <w:pPr>
      <w:jc w:val="center"/>
    </w:pPr>
    <w:r>
      <w:rPr>
        <w:color w:val="5A6172"/>
        <w:sz w:val="18"/>
        <w:szCs w:val="18"/>
      </w:rPr>
      <w:t xml:space="preserve">Page </w:t>
    </w:r>
    <w:r>
      <w:rPr>
        <w:color w:val="5A6172"/>
        <w:sz w:val="18"/>
        <w:szCs w:val="18"/>
      </w:rPr>
      <w:fldChar w:fldCharType="begin"/>
    </w:r>
    <w:r>
      <w:rPr>
        <w:color w:val="5A6172"/>
        <w:sz w:val="18"/>
        <w:szCs w:val="18"/>
      </w:rPr>
      <w:instrText>PAGE</w:instrText>
    </w:r>
    <w:r>
      <w:rPr>
        <w:color w:val="5A6172"/>
        <w:sz w:val="18"/>
        <w:szCs w:val="18"/>
      </w:rPr>
      <w:fldChar w:fldCharType="separate"/>
    </w:r>
    <w:r w:rsidR="005D76C9">
      <w:rPr>
        <w:noProof/>
        <w:color w:val="5A6172"/>
        <w:sz w:val="18"/>
        <w:szCs w:val="18"/>
      </w:rPr>
      <w:t>1</w:t>
    </w:r>
    <w:r>
      <w:rPr>
        <w:color w:val="5A6172"/>
        <w:sz w:val="18"/>
        <w:szCs w:val="18"/>
      </w:rPr>
      <w:fldChar w:fldCharType="end"/>
    </w:r>
    <w:r>
      <w:rPr>
        <w:color w:val="5A6172"/>
        <w:sz w:val="18"/>
        <w:szCs w:val="18"/>
      </w:rPr>
      <w:t xml:space="preserve"> of </w:t>
    </w:r>
    <w:r>
      <w:rPr>
        <w:color w:val="5A6172"/>
        <w:sz w:val="18"/>
        <w:szCs w:val="18"/>
      </w:rPr>
      <w:fldChar w:fldCharType="begin"/>
    </w:r>
    <w:r>
      <w:rPr>
        <w:color w:val="5A6172"/>
        <w:sz w:val="18"/>
        <w:szCs w:val="18"/>
      </w:rPr>
      <w:instrText>NUMPAGES</w:instrText>
    </w:r>
    <w:r>
      <w:rPr>
        <w:color w:val="5A6172"/>
        <w:sz w:val="18"/>
        <w:szCs w:val="18"/>
      </w:rPr>
      <w:fldChar w:fldCharType="separate"/>
    </w:r>
    <w:r w:rsidR="005D76C9">
      <w:rPr>
        <w:noProof/>
        <w:color w:val="5A6172"/>
        <w:sz w:val="18"/>
        <w:szCs w:val="18"/>
      </w:rPr>
      <w:t>2</w:t>
    </w:r>
    <w:r>
      <w:rPr>
        <w:color w:val="5A61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F9001" w14:textId="77777777" w:rsidR="00347FE3" w:rsidRDefault="00347FE3">
      <w:r>
        <w:separator/>
      </w:r>
    </w:p>
  </w:footnote>
  <w:footnote w:type="continuationSeparator" w:id="0">
    <w:p w14:paraId="0B11DA17" w14:textId="77777777" w:rsidR="00347FE3" w:rsidRDefault="00347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CC685" w14:textId="03427F1B" w:rsidR="00967DF7" w:rsidRDefault="00967DF7" w:rsidP="005D76C9">
    <w:pPr>
      <w:ind w:right="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17D7"/>
    <w:multiLevelType w:val="hybridMultilevel"/>
    <w:tmpl w:val="C24C8CBC"/>
    <w:lvl w:ilvl="0" w:tplc="ABAEC90C">
      <w:start w:val="1"/>
      <w:numFmt w:val="bullet"/>
      <w:lvlText w:val="●"/>
      <w:lvlJc w:val="left"/>
      <w:pPr>
        <w:ind w:left="720" w:hanging="360"/>
      </w:pPr>
    </w:lvl>
    <w:lvl w:ilvl="1" w:tplc="6E320C4A">
      <w:start w:val="1"/>
      <w:numFmt w:val="bullet"/>
      <w:lvlText w:val="○"/>
      <w:lvlJc w:val="left"/>
      <w:pPr>
        <w:ind w:left="1440" w:hanging="360"/>
      </w:pPr>
    </w:lvl>
    <w:lvl w:ilvl="2" w:tplc="CB10E3B0">
      <w:start w:val="1"/>
      <w:numFmt w:val="bullet"/>
      <w:lvlText w:val="■"/>
      <w:lvlJc w:val="left"/>
      <w:pPr>
        <w:ind w:left="2160" w:hanging="360"/>
      </w:pPr>
    </w:lvl>
    <w:lvl w:ilvl="3" w:tplc="7618F97E">
      <w:start w:val="1"/>
      <w:numFmt w:val="bullet"/>
      <w:lvlText w:val="●"/>
      <w:lvlJc w:val="left"/>
      <w:pPr>
        <w:ind w:left="2880" w:hanging="360"/>
      </w:pPr>
    </w:lvl>
    <w:lvl w:ilvl="4" w:tplc="174414C8">
      <w:start w:val="1"/>
      <w:numFmt w:val="bullet"/>
      <w:lvlText w:val="○"/>
      <w:lvlJc w:val="left"/>
      <w:pPr>
        <w:ind w:left="3600" w:hanging="360"/>
      </w:pPr>
    </w:lvl>
    <w:lvl w:ilvl="5" w:tplc="A0149282">
      <w:start w:val="1"/>
      <w:numFmt w:val="bullet"/>
      <w:lvlText w:val="■"/>
      <w:lvlJc w:val="left"/>
      <w:pPr>
        <w:ind w:left="4320" w:hanging="360"/>
      </w:pPr>
    </w:lvl>
    <w:lvl w:ilvl="6" w:tplc="23F000B2">
      <w:start w:val="1"/>
      <w:numFmt w:val="bullet"/>
      <w:lvlText w:val="●"/>
      <w:lvlJc w:val="left"/>
      <w:pPr>
        <w:ind w:left="5040" w:hanging="360"/>
      </w:pPr>
    </w:lvl>
    <w:lvl w:ilvl="7" w:tplc="F796FF4C">
      <w:start w:val="1"/>
      <w:numFmt w:val="bullet"/>
      <w:lvlText w:val="●"/>
      <w:lvlJc w:val="left"/>
      <w:pPr>
        <w:ind w:left="5760" w:hanging="360"/>
      </w:pPr>
    </w:lvl>
    <w:lvl w:ilvl="8" w:tplc="BA5618BA">
      <w:start w:val="1"/>
      <w:numFmt w:val="bullet"/>
      <w:lvlText w:val="●"/>
      <w:lvlJc w:val="left"/>
      <w:pPr>
        <w:ind w:left="6480" w:hanging="360"/>
      </w:pPr>
    </w:lvl>
  </w:abstractNum>
  <w:num w:numId="1" w16cid:durableId="1508666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DF7"/>
    <w:rsid w:val="00347FE3"/>
    <w:rsid w:val="005D76C9"/>
    <w:rsid w:val="009252DC"/>
    <w:rsid w:val="0096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E2B3F"/>
  <w15:docId w15:val="{69DBA3CD-E16F-4AAD-A30D-B3323C24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1F4E79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5D76C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D76C9"/>
  </w:style>
  <w:style w:type="paragraph" w:styleId="Pidipagina">
    <w:name w:val="footer"/>
    <w:basedOn w:val="Normale"/>
    <w:link w:val="PidipaginaCarattere"/>
    <w:uiPriority w:val="99"/>
    <w:unhideWhenUsed/>
    <w:rsid w:val="005D76C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D7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icpsr.org/openicpsr/project/231500/version/V1/view" TargetMode="External"/><Relationship Id="rId13" Type="http://schemas.openxmlformats.org/officeDocument/2006/relationships/hyperlink" Target="https://doi.org/10.3886/E116222V1" TargetMode="External"/><Relationship Id="rId18" Type="http://schemas.openxmlformats.org/officeDocument/2006/relationships/hyperlink" Target="https://www.openicpsr.org/openicpsr/project/141661/version/V1/view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academic.oup.com/jeea/article/20/2/549/6316113" TargetMode="External"/><Relationship Id="rId7" Type="http://schemas.openxmlformats.org/officeDocument/2006/relationships/hyperlink" Target="https://www.aeaweb.org/articles?id=10.1257/mac.20130322" TargetMode="External"/><Relationship Id="rId12" Type="http://schemas.openxmlformats.org/officeDocument/2006/relationships/hyperlink" Target="https://www.aeaweb.org/articles?id=10.1257/aer.96.3.737" TargetMode="External"/><Relationship Id="rId17" Type="http://schemas.openxmlformats.org/officeDocument/2006/relationships/hyperlink" Target="https://www.aeaweb.org/articles?id=10.1257/mac.20180247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ataverse.harvard.edu/dataset.xhtml?persistentId=doi:10.7910/DVN/MXVRFI" TargetMode="External"/><Relationship Id="rId20" Type="http://schemas.openxmlformats.org/officeDocument/2006/relationships/hyperlink" Target="https://doi.org/10.3886/E193801V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obertdkirkby/LifeCycleOLGReadingList" TargetMode="External"/><Relationship Id="rId24" Type="http://schemas.openxmlformats.org/officeDocument/2006/relationships/hyperlink" Target="https://static1.squarespace.com/static/573b5f2bf85082a897b58171/t/6759c331b968cf1efd412ab5/1733935922153/Monetary_and_Fiscal_Policy_with_Finite_Lives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journals.uchicago.edu/doi/abs/10.1086/739831" TargetMode="External"/><Relationship Id="rId23" Type="http://schemas.openxmlformats.org/officeDocument/2006/relationships/hyperlink" Target="https://dataverse.harvard.edu/dataset.xhtml?persistentId=doi:10.7910/DVN/XDBGVY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ink.springer.com/article/10.1007/BF01213942" TargetMode="External"/><Relationship Id="rId19" Type="http://schemas.openxmlformats.org/officeDocument/2006/relationships/hyperlink" Target="https://www.aeaweb.org/articles?id=10.1257/mac.202301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3/jeea/jvad049" TargetMode="External"/><Relationship Id="rId14" Type="http://schemas.openxmlformats.org/officeDocument/2006/relationships/hyperlink" Target="https://academic.oup.com/jeea/article-abstract/21/5/1944/7100964" TargetMode="External"/><Relationship Id="rId22" Type="http://schemas.openxmlformats.org/officeDocument/2006/relationships/hyperlink" Target="https://www.journals.uchicago.edu/doi/10.1086/730206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List - OLG PhD Mini-Course</dc:title>
  <dc:creator>Alessia Russo</dc:creator>
  <cp:lastModifiedBy>Alessia Russo</cp:lastModifiedBy>
  <cp:revision>2</cp:revision>
  <dcterms:created xsi:type="dcterms:W3CDTF">2026-05-14T19:41:00Z</dcterms:created>
  <dcterms:modified xsi:type="dcterms:W3CDTF">2026-05-14T19:50:00Z</dcterms:modified>
</cp:coreProperties>
</file>