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AF3D4" w14:textId="77777777" w:rsidR="006D56FC" w:rsidRPr="00BC4121" w:rsidRDefault="00000000">
      <w:pPr>
        <w:jc w:val="center"/>
        <w:rPr>
          <w:rFonts w:ascii="Arial" w:hAnsi="Arial" w:cs="Arial"/>
          <w:b/>
          <w:sz w:val="28"/>
          <w:szCs w:val="28"/>
        </w:rPr>
      </w:pPr>
      <w:r w:rsidRPr="00BC4121">
        <w:rPr>
          <w:rFonts w:ascii="Arial" w:hAnsi="Arial" w:cs="Arial"/>
          <w:b/>
          <w:sz w:val="28"/>
          <w:szCs w:val="28"/>
        </w:rPr>
        <w:t>RELATÓRIO DE EXPORTAÇÃO DE VINHOS</w:t>
      </w:r>
    </w:p>
    <w:p w14:paraId="0728C411" w14:textId="77777777" w:rsidR="006D56FC" w:rsidRPr="00BC4121" w:rsidRDefault="006D56FC">
      <w:pPr>
        <w:jc w:val="center"/>
        <w:rPr>
          <w:rFonts w:ascii="Arial" w:hAnsi="Arial" w:cs="Arial"/>
          <w:b/>
          <w:sz w:val="28"/>
          <w:szCs w:val="28"/>
        </w:rPr>
      </w:pPr>
    </w:p>
    <w:p w14:paraId="41F66E8E" w14:textId="77777777" w:rsidR="006D56FC" w:rsidRPr="00BC4121" w:rsidRDefault="00000000">
      <w:pPr>
        <w:numPr>
          <w:ilvl w:val="0"/>
          <w:numId w:val="1"/>
        </w:numPr>
        <w:rPr>
          <w:rFonts w:ascii="Arial" w:hAnsi="Arial" w:cs="Arial"/>
          <w:b/>
          <w:sz w:val="28"/>
          <w:szCs w:val="28"/>
        </w:rPr>
      </w:pPr>
      <w:r w:rsidRPr="00BC4121">
        <w:rPr>
          <w:rFonts w:ascii="Arial" w:hAnsi="Arial" w:cs="Arial"/>
          <w:b/>
          <w:sz w:val="28"/>
          <w:szCs w:val="28"/>
        </w:rPr>
        <w:t>Introdução</w:t>
      </w:r>
    </w:p>
    <w:p w14:paraId="25FC2823" w14:textId="77777777" w:rsidR="006D56FC" w:rsidRPr="00BC4121" w:rsidRDefault="00000000">
      <w:pPr>
        <w:jc w:val="both"/>
        <w:rPr>
          <w:rFonts w:ascii="Arial" w:hAnsi="Arial" w:cs="Arial"/>
        </w:rPr>
      </w:pPr>
      <w:r w:rsidRPr="00BC4121">
        <w:rPr>
          <w:rFonts w:ascii="Arial" w:hAnsi="Arial" w:cs="Arial"/>
          <w:b/>
        </w:rPr>
        <w:tab/>
      </w:r>
      <w:r w:rsidRPr="00BC4121">
        <w:rPr>
          <w:rFonts w:ascii="Arial" w:hAnsi="Arial" w:cs="Arial"/>
        </w:rPr>
        <w:t xml:space="preserve">Este relatório tem como objetivo analisar o comportamento das exportações brasileiras de vinhos baseado nos dados adquiridos de uma </w:t>
      </w:r>
      <w:hyperlink r:id="rId8">
        <w:r w:rsidRPr="00BC4121">
          <w:rPr>
            <w:rFonts w:ascii="Arial" w:hAnsi="Arial" w:cs="Arial"/>
            <w:color w:val="1155CC"/>
            <w:u w:val="single"/>
          </w:rPr>
          <w:t>vinícola parceira</w:t>
        </w:r>
      </w:hyperlink>
      <w:r w:rsidRPr="00BC4121">
        <w:rPr>
          <w:rFonts w:ascii="Arial" w:hAnsi="Arial" w:cs="Arial"/>
        </w:rPr>
        <w:t xml:space="preserve">. As informações são referentes à comercialização de vinhos provenientes do Estado do Rio Grande do Sul, que representa mais de 90% da produção nacional. </w:t>
      </w:r>
    </w:p>
    <w:p w14:paraId="559C856E" w14:textId="77777777" w:rsidR="006D56FC" w:rsidRPr="00BC4121" w:rsidRDefault="006D56FC">
      <w:pPr>
        <w:jc w:val="both"/>
        <w:rPr>
          <w:rFonts w:ascii="Arial" w:hAnsi="Arial" w:cs="Arial"/>
        </w:rPr>
      </w:pPr>
    </w:p>
    <w:p w14:paraId="70B7A812" w14:textId="77777777" w:rsidR="006D56FC" w:rsidRPr="00BC4121" w:rsidRDefault="00000000">
      <w:pPr>
        <w:numPr>
          <w:ilvl w:val="0"/>
          <w:numId w:val="1"/>
        </w:numPr>
        <w:rPr>
          <w:rFonts w:ascii="Arial" w:hAnsi="Arial" w:cs="Arial"/>
          <w:b/>
          <w:sz w:val="28"/>
          <w:szCs w:val="28"/>
        </w:rPr>
      </w:pPr>
      <w:r w:rsidRPr="00BC4121">
        <w:rPr>
          <w:rFonts w:ascii="Arial" w:hAnsi="Arial" w:cs="Arial"/>
          <w:b/>
          <w:sz w:val="28"/>
          <w:szCs w:val="28"/>
        </w:rPr>
        <w:t>Apresentação da base de dados</w:t>
      </w:r>
    </w:p>
    <w:p w14:paraId="50B7B5F2" w14:textId="598FCDE3" w:rsidR="006D56FC" w:rsidRPr="00BC4121" w:rsidRDefault="00000000">
      <w:pPr>
        <w:jc w:val="both"/>
        <w:rPr>
          <w:rFonts w:ascii="Arial" w:hAnsi="Arial" w:cs="Arial"/>
        </w:rPr>
      </w:pPr>
      <w:r w:rsidRPr="00BC4121">
        <w:rPr>
          <w:rFonts w:ascii="Arial" w:hAnsi="Arial" w:cs="Arial"/>
        </w:rPr>
        <w:tab/>
        <w:t xml:space="preserve">A base de dados disponibilizada apresenta registros desde 1970, mas por motivos de confiabilidade dos dados foram analisados os dados de exportação dos últimos 15 anos (2008 - 2022). Com isto, obteve-se uma tabela contendo as informações de país de origem, país de destino, quantidade em litros de vinho </w:t>
      </w:r>
      <w:r w:rsidR="00823238" w:rsidRPr="00BC4121">
        <w:rPr>
          <w:rFonts w:ascii="Arial" w:hAnsi="Arial" w:cs="Arial"/>
        </w:rPr>
        <w:t>exportado e</w:t>
      </w:r>
      <w:r w:rsidRPr="00BC4121">
        <w:rPr>
          <w:rFonts w:ascii="Arial" w:hAnsi="Arial" w:cs="Arial"/>
        </w:rPr>
        <w:t xml:space="preserve"> valor (US$), conforme apresentado abaixo:</w:t>
      </w:r>
    </w:p>
    <w:p w14:paraId="32CBE50C" w14:textId="77777777" w:rsidR="006D56FC" w:rsidRPr="00BC4121" w:rsidRDefault="006D56FC">
      <w:pPr>
        <w:jc w:val="both"/>
        <w:rPr>
          <w:rFonts w:ascii="Arial" w:hAnsi="Arial" w:cs="Arial"/>
        </w:rPr>
      </w:pPr>
    </w:p>
    <w:p w14:paraId="531ED8EC" w14:textId="77777777" w:rsidR="006D56FC" w:rsidRPr="00BC4121" w:rsidRDefault="00000000">
      <w:pPr>
        <w:jc w:val="both"/>
        <w:rPr>
          <w:rFonts w:ascii="Arial" w:hAnsi="Arial" w:cs="Arial"/>
        </w:rPr>
      </w:pPr>
      <w:r w:rsidRPr="00BC4121">
        <w:rPr>
          <w:rFonts w:ascii="Arial" w:hAnsi="Arial" w:cs="Arial"/>
        </w:rPr>
        <w:tab/>
      </w:r>
      <w:r w:rsidRPr="00BC4121">
        <w:rPr>
          <w:rFonts w:ascii="Arial" w:hAnsi="Arial" w:cs="Arial"/>
          <w:noProof/>
        </w:rPr>
        <w:drawing>
          <wp:inline distT="114300" distB="114300" distL="114300" distR="114300" wp14:anchorId="10254C16" wp14:editId="01E4A91C">
            <wp:extent cx="4505325" cy="333375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333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74AE39" w14:textId="77777777" w:rsidR="006D56FC" w:rsidRPr="00BC4121" w:rsidRDefault="006D56FC">
      <w:pPr>
        <w:jc w:val="both"/>
        <w:rPr>
          <w:rFonts w:ascii="Arial" w:hAnsi="Arial" w:cs="Arial"/>
        </w:rPr>
      </w:pPr>
    </w:p>
    <w:p w14:paraId="544CAE67" w14:textId="63A10B79" w:rsidR="006D56FC" w:rsidRPr="00BC4121" w:rsidRDefault="00000000">
      <w:pPr>
        <w:jc w:val="both"/>
        <w:rPr>
          <w:rFonts w:ascii="Arial" w:hAnsi="Arial" w:cs="Arial"/>
          <w:i/>
        </w:rPr>
      </w:pPr>
      <w:r w:rsidRPr="00BC4121">
        <w:rPr>
          <w:rFonts w:ascii="Arial" w:hAnsi="Arial" w:cs="Arial"/>
          <w:i/>
        </w:rPr>
        <w:t xml:space="preserve">Observação: É importante informar que existe um erro na base de dados quanto ao país Camarões no ano de 2020, pois </w:t>
      </w:r>
      <w:proofErr w:type="gramStart"/>
      <w:r w:rsidRPr="00BC4121">
        <w:rPr>
          <w:rFonts w:ascii="Arial" w:hAnsi="Arial" w:cs="Arial"/>
          <w:i/>
        </w:rPr>
        <w:t>o mesmo</w:t>
      </w:r>
      <w:proofErr w:type="gramEnd"/>
      <w:r w:rsidRPr="00BC4121">
        <w:rPr>
          <w:rFonts w:ascii="Arial" w:hAnsi="Arial" w:cs="Arial"/>
          <w:i/>
        </w:rPr>
        <w:t xml:space="preserve"> apresenta registro de valor monetário, mas não apresenta volume de exportação. Também foram encontrados 128 países de destino na base de dados, porém em 11 destes não </w:t>
      </w:r>
      <w:r w:rsidR="00823238" w:rsidRPr="00BC4121">
        <w:rPr>
          <w:rFonts w:ascii="Arial" w:hAnsi="Arial" w:cs="Arial"/>
          <w:i/>
        </w:rPr>
        <w:t>houve</w:t>
      </w:r>
      <w:r w:rsidRPr="00BC4121">
        <w:rPr>
          <w:rFonts w:ascii="Arial" w:hAnsi="Arial" w:cs="Arial"/>
          <w:i/>
        </w:rPr>
        <w:t xml:space="preserve"> exportações.</w:t>
      </w:r>
    </w:p>
    <w:p w14:paraId="1CCB7C43" w14:textId="77777777" w:rsidR="006D56FC" w:rsidRPr="00BC4121" w:rsidRDefault="006D56FC">
      <w:pPr>
        <w:jc w:val="both"/>
        <w:rPr>
          <w:rFonts w:ascii="Arial" w:hAnsi="Arial" w:cs="Arial"/>
          <w:i/>
        </w:rPr>
      </w:pPr>
    </w:p>
    <w:p w14:paraId="456ADDD2" w14:textId="4434F25D" w:rsidR="006D56FC" w:rsidRPr="00BC4121" w:rsidRDefault="00000000">
      <w:pPr>
        <w:jc w:val="center"/>
        <w:rPr>
          <w:rFonts w:ascii="Arial" w:hAnsi="Arial" w:cs="Arial"/>
        </w:rPr>
      </w:pPr>
      <w:r w:rsidRPr="00BC4121">
        <w:rPr>
          <w:rFonts w:ascii="Arial" w:hAnsi="Arial" w:cs="Arial"/>
          <w:noProof/>
        </w:rPr>
        <w:lastRenderedPageBreak/>
        <w:drawing>
          <wp:inline distT="114300" distB="114300" distL="114300" distR="114300" wp14:anchorId="3C3844BB" wp14:editId="1D768F61">
            <wp:extent cx="3181350" cy="6381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63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CCA612" w14:textId="4A7784BC" w:rsidR="006D56FC" w:rsidRPr="00BC4121" w:rsidRDefault="006D56FC">
      <w:pPr>
        <w:jc w:val="both"/>
        <w:rPr>
          <w:rFonts w:ascii="Arial" w:hAnsi="Arial" w:cs="Arial"/>
        </w:rPr>
      </w:pPr>
    </w:p>
    <w:p w14:paraId="590BBFC7" w14:textId="223BC424" w:rsidR="006D56FC" w:rsidRPr="00BC4121" w:rsidRDefault="00000000">
      <w:pPr>
        <w:jc w:val="center"/>
        <w:rPr>
          <w:rFonts w:ascii="Arial" w:hAnsi="Arial" w:cs="Arial"/>
        </w:rPr>
      </w:pPr>
      <w:r w:rsidRPr="00BC4121">
        <w:rPr>
          <w:rFonts w:ascii="Arial" w:hAnsi="Arial" w:cs="Arial"/>
          <w:noProof/>
        </w:rPr>
        <w:drawing>
          <wp:inline distT="114300" distB="114300" distL="114300" distR="114300" wp14:anchorId="154320DA" wp14:editId="700E79E0">
            <wp:extent cx="2591680" cy="1818723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1680" cy="18187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C91AD2" w14:textId="2EC27224" w:rsidR="006D56FC" w:rsidRPr="00BC4121" w:rsidRDefault="006D56FC">
      <w:pPr>
        <w:jc w:val="center"/>
        <w:rPr>
          <w:rFonts w:ascii="Arial" w:hAnsi="Arial" w:cs="Arial"/>
        </w:rPr>
      </w:pPr>
    </w:p>
    <w:p w14:paraId="6816C8D9" w14:textId="77777777" w:rsidR="006D56FC" w:rsidRPr="00BC412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  <w:r w:rsidRPr="00BC4121">
        <w:rPr>
          <w:rFonts w:ascii="Arial" w:hAnsi="Arial" w:cs="Arial"/>
          <w:b/>
          <w:sz w:val="28"/>
          <w:szCs w:val="28"/>
        </w:rPr>
        <w:t xml:space="preserve">Análise Exploratória </w:t>
      </w:r>
    </w:p>
    <w:p w14:paraId="4D240F83" w14:textId="3E48F996" w:rsidR="006D56FC" w:rsidRDefault="00000000">
      <w:pPr>
        <w:ind w:firstLine="720"/>
        <w:jc w:val="both"/>
        <w:rPr>
          <w:rFonts w:ascii="Arial" w:hAnsi="Arial" w:cs="Arial"/>
        </w:rPr>
      </w:pPr>
      <w:r w:rsidRPr="00BC4121">
        <w:rPr>
          <w:rFonts w:ascii="Arial" w:hAnsi="Arial" w:cs="Arial"/>
        </w:rPr>
        <w:t>Neste período foram exportados aproximadamente 88 milhões de litros, resultando em um montante de venda de 112,6 milhões de dólares.</w:t>
      </w:r>
      <w:r w:rsidR="0092146E" w:rsidRPr="00BC4121">
        <w:rPr>
          <w:rFonts w:ascii="Arial" w:hAnsi="Arial" w:cs="Arial"/>
        </w:rPr>
        <w:t xml:space="preserve"> </w:t>
      </w:r>
    </w:p>
    <w:p w14:paraId="7E4AB7C8" w14:textId="5D1046DA" w:rsidR="0092146E" w:rsidRPr="00D570F9" w:rsidRDefault="00873E80" w:rsidP="00D570F9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Paraguai e a Rússia lideram o ranking dos 10 países que mais importam o vinho brasileiro, </w:t>
      </w:r>
      <w:r w:rsidR="00D570F9">
        <w:rPr>
          <w:rFonts w:ascii="Arial" w:hAnsi="Arial" w:cs="Arial"/>
        </w:rPr>
        <w:t>e</w:t>
      </w:r>
      <w:r w:rsidR="00DA78DD">
        <w:rPr>
          <w:rFonts w:ascii="Arial" w:hAnsi="Arial" w:cs="Arial"/>
        </w:rPr>
        <w:t xml:space="preserve"> no</w:t>
      </w:r>
      <w:r w:rsidR="000C1EAC">
        <w:rPr>
          <w:rFonts w:ascii="Arial" w:hAnsi="Arial" w:cs="Arial"/>
        </w:rPr>
        <w:t xml:space="preserve"> </w:t>
      </w:r>
      <w:r w:rsidR="00DA78DD">
        <w:rPr>
          <w:rFonts w:ascii="Arial" w:hAnsi="Arial" w:cs="Arial"/>
        </w:rPr>
        <w:t>último ano analisado</w:t>
      </w:r>
      <w:r w:rsidR="00D570F9">
        <w:rPr>
          <w:rFonts w:ascii="Arial" w:hAnsi="Arial" w:cs="Arial"/>
        </w:rPr>
        <w:t xml:space="preserve"> o tem </w:t>
      </w:r>
      <w:r>
        <w:rPr>
          <w:rFonts w:ascii="Arial" w:hAnsi="Arial" w:cs="Arial"/>
        </w:rPr>
        <w:t xml:space="preserve">vendido a granel por US$ 1,41 e </w:t>
      </w:r>
      <w:r>
        <w:rPr>
          <w:rFonts w:ascii="Arial" w:hAnsi="Arial" w:cs="Arial"/>
        </w:rPr>
        <w:t>US$ 1,</w:t>
      </w:r>
      <w:r>
        <w:rPr>
          <w:rFonts w:ascii="Arial" w:hAnsi="Arial" w:cs="Arial"/>
        </w:rPr>
        <w:t>80 o litro, respectivamente.</w:t>
      </w:r>
    </w:p>
    <w:p w14:paraId="5819C51C" w14:textId="69E04E6D" w:rsidR="0092146E" w:rsidRPr="00BC4121" w:rsidRDefault="00FB10F6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  <w:r w:rsidRPr="00BC4121">
        <w:rPr>
          <w:rFonts w:ascii="Arial" w:hAnsi="Arial" w:cs="Arial"/>
          <w:noProof/>
          <w:sz w:val="21"/>
          <w:szCs w:val="21"/>
          <w:highlight w:val="white"/>
        </w:rPr>
        <w:drawing>
          <wp:anchor distT="0" distB="0" distL="114300" distR="114300" simplePos="0" relativeHeight="251658240" behindDoc="1" locked="0" layoutInCell="1" allowOverlap="1" wp14:anchorId="78F7EB5F" wp14:editId="70CF6743">
            <wp:simplePos x="0" y="0"/>
            <wp:positionH relativeFrom="margin">
              <wp:posOffset>26335</wp:posOffset>
            </wp:positionH>
            <wp:positionV relativeFrom="page">
              <wp:posOffset>5985223</wp:posOffset>
            </wp:positionV>
            <wp:extent cx="5400040" cy="3398520"/>
            <wp:effectExtent l="0" t="0" r="0" b="0"/>
            <wp:wrapTight wrapText="bothSides">
              <wp:wrapPolygon edited="0">
                <wp:start x="7391" y="0"/>
                <wp:lineTo x="5258" y="969"/>
                <wp:lineTo x="4191" y="1574"/>
                <wp:lineTo x="4115" y="3753"/>
                <wp:lineTo x="4267" y="4117"/>
                <wp:lineTo x="5029" y="4117"/>
                <wp:lineTo x="76" y="5085"/>
                <wp:lineTo x="76" y="5691"/>
                <wp:lineTo x="5029" y="6054"/>
                <wp:lineTo x="3048" y="6659"/>
                <wp:lineTo x="3048" y="7386"/>
                <wp:lineTo x="5029" y="7991"/>
                <wp:lineTo x="3734" y="8475"/>
                <wp:lineTo x="3734" y="8960"/>
                <wp:lineTo x="5029" y="9928"/>
                <wp:lineTo x="3277" y="10049"/>
                <wp:lineTo x="3277" y="10655"/>
                <wp:lineTo x="5029" y="11865"/>
                <wp:lineTo x="4267" y="11865"/>
                <wp:lineTo x="2743" y="13197"/>
                <wp:lineTo x="2743" y="13924"/>
                <wp:lineTo x="3886" y="15740"/>
                <wp:lineTo x="3658" y="17435"/>
                <wp:lineTo x="3810" y="17677"/>
                <wp:lineTo x="5029" y="17677"/>
                <wp:lineTo x="4953" y="18767"/>
                <wp:lineTo x="5715" y="19614"/>
                <wp:lineTo x="6629" y="19614"/>
                <wp:lineTo x="6401" y="20220"/>
                <wp:lineTo x="6858" y="20583"/>
                <wp:lineTo x="11125" y="21430"/>
                <wp:lineTo x="15240" y="21430"/>
                <wp:lineTo x="17754" y="21188"/>
                <wp:lineTo x="21031" y="20341"/>
                <wp:lineTo x="20955" y="19614"/>
                <wp:lineTo x="21260" y="19614"/>
                <wp:lineTo x="21336" y="18767"/>
                <wp:lineTo x="21260" y="1211"/>
                <wp:lineTo x="20879" y="969"/>
                <wp:lineTo x="18440" y="0"/>
                <wp:lineTo x="7391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534D374" w14:textId="14091219" w:rsidR="0092146E" w:rsidRPr="00BC4121" w:rsidRDefault="0092146E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104D4051" w14:textId="24D94CB4" w:rsidR="0092146E" w:rsidRPr="00BC4121" w:rsidRDefault="0092146E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2D2FD967" w14:textId="2E4D3D02" w:rsidR="000171B7" w:rsidRPr="00BC4121" w:rsidRDefault="000171B7" w:rsidP="000171B7">
      <w:pPr>
        <w:ind w:firstLine="720"/>
        <w:rPr>
          <w:rFonts w:ascii="Arial" w:hAnsi="Arial" w:cs="Arial"/>
          <w:sz w:val="21"/>
          <w:szCs w:val="21"/>
          <w:highlight w:val="white"/>
        </w:rPr>
      </w:pPr>
    </w:p>
    <w:p w14:paraId="7B73F6E4" w14:textId="00DFD1A0" w:rsidR="006D56FC" w:rsidRPr="00BC4121" w:rsidRDefault="00000000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  <w:r w:rsidRPr="00BC4121">
        <w:rPr>
          <w:rFonts w:ascii="Arial" w:hAnsi="Arial" w:cs="Arial"/>
          <w:sz w:val="21"/>
          <w:szCs w:val="21"/>
          <w:highlight w:val="white"/>
        </w:rPr>
        <w:t xml:space="preserve"> </w:t>
      </w:r>
    </w:p>
    <w:p w14:paraId="2AD39505" w14:textId="2020A4CF" w:rsidR="006D56FC" w:rsidRPr="00BC4121" w:rsidRDefault="006D56FC">
      <w:pPr>
        <w:ind w:firstLine="720"/>
        <w:jc w:val="center"/>
        <w:rPr>
          <w:rFonts w:ascii="Arial" w:hAnsi="Arial" w:cs="Arial"/>
          <w:noProof/>
          <w:sz w:val="21"/>
          <w:szCs w:val="21"/>
          <w:highlight w:val="white"/>
        </w:rPr>
      </w:pPr>
    </w:p>
    <w:p w14:paraId="4B08331C" w14:textId="55D05CAF" w:rsidR="000171B7" w:rsidRPr="00BC4121" w:rsidRDefault="000171B7">
      <w:pPr>
        <w:ind w:firstLine="720"/>
        <w:jc w:val="center"/>
        <w:rPr>
          <w:rFonts w:ascii="Arial" w:hAnsi="Arial" w:cs="Arial"/>
          <w:noProof/>
          <w:sz w:val="21"/>
          <w:szCs w:val="21"/>
          <w:highlight w:val="white"/>
        </w:rPr>
      </w:pPr>
    </w:p>
    <w:p w14:paraId="2AE0C303" w14:textId="0B067CC9" w:rsidR="000171B7" w:rsidRPr="00BC4121" w:rsidRDefault="000171B7">
      <w:pPr>
        <w:ind w:firstLine="720"/>
        <w:jc w:val="center"/>
        <w:rPr>
          <w:rFonts w:ascii="Arial" w:hAnsi="Arial" w:cs="Arial"/>
          <w:noProof/>
          <w:sz w:val="21"/>
          <w:szCs w:val="21"/>
          <w:highlight w:val="white"/>
        </w:rPr>
      </w:pPr>
    </w:p>
    <w:p w14:paraId="7F305977" w14:textId="6B3771E4" w:rsidR="000171B7" w:rsidRPr="00BC4121" w:rsidRDefault="000171B7">
      <w:pPr>
        <w:ind w:firstLine="720"/>
        <w:jc w:val="center"/>
        <w:rPr>
          <w:rFonts w:ascii="Arial" w:hAnsi="Arial" w:cs="Arial"/>
          <w:noProof/>
          <w:sz w:val="21"/>
          <w:szCs w:val="21"/>
          <w:highlight w:val="white"/>
        </w:rPr>
      </w:pPr>
    </w:p>
    <w:p w14:paraId="000C8551" w14:textId="188E5982" w:rsidR="000171B7" w:rsidRPr="00BC4121" w:rsidRDefault="000171B7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1208B4F7" w14:textId="3F7F2221" w:rsidR="006D56FC" w:rsidRPr="00BC4121" w:rsidRDefault="006D56FC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056C47B7" w14:textId="5B03EFB7" w:rsidR="00BC4121" w:rsidRPr="00BC4121" w:rsidRDefault="00BC4121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1A4059FF" w14:textId="69EB2931" w:rsidR="00BC4121" w:rsidRPr="00BC4121" w:rsidRDefault="00BC4121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4B7551CC" w14:textId="6F1E8BC8" w:rsidR="00BC4121" w:rsidRDefault="00FB10F6" w:rsidP="00FB10F6">
      <w:pPr>
        <w:rPr>
          <w:rFonts w:ascii="Arial" w:hAnsi="Arial" w:cs="Arial"/>
          <w:sz w:val="21"/>
          <w:szCs w:val="21"/>
          <w:highlight w:val="white"/>
        </w:rPr>
      </w:pPr>
      <w:r w:rsidRPr="00BC4121">
        <w:rPr>
          <w:rFonts w:ascii="Arial" w:hAnsi="Arial" w:cs="Arial"/>
          <w:noProof/>
          <w:sz w:val="21"/>
          <w:szCs w:val="21"/>
          <w:highlight w:val="white"/>
        </w:rPr>
        <w:lastRenderedPageBreak/>
        <w:drawing>
          <wp:anchor distT="0" distB="0" distL="114300" distR="114300" simplePos="0" relativeHeight="251659264" behindDoc="1" locked="0" layoutInCell="1" allowOverlap="1" wp14:anchorId="2DED480C" wp14:editId="7DF88754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5400040" cy="3416935"/>
            <wp:effectExtent l="0" t="0" r="0" b="0"/>
            <wp:wrapTight wrapText="bothSides">
              <wp:wrapPolygon edited="0">
                <wp:start x="7315" y="0"/>
                <wp:lineTo x="0" y="1686"/>
                <wp:lineTo x="0" y="2408"/>
                <wp:lineTo x="4420" y="4094"/>
                <wp:lineTo x="5029" y="4094"/>
                <wp:lineTo x="3048" y="5058"/>
                <wp:lineTo x="3048" y="5660"/>
                <wp:lineTo x="5029" y="6021"/>
                <wp:lineTo x="3277" y="6864"/>
                <wp:lineTo x="3277" y="7346"/>
                <wp:lineTo x="5029" y="7948"/>
                <wp:lineTo x="4267" y="8550"/>
                <wp:lineTo x="4267" y="8911"/>
                <wp:lineTo x="5029" y="9875"/>
                <wp:lineTo x="3810" y="10116"/>
                <wp:lineTo x="3810" y="10838"/>
                <wp:lineTo x="5029" y="11802"/>
                <wp:lineTo x="4267" y="11922"/>
                <wp:lineTo x="2743" y="13247"/>
                <wp:lineTo x="2743" y="13849"/>
                <wp:lineTo x="3581" y="15655"/>
                <wp:lineTo x="3658" y="16980"/>
                <wp:lineTo x="4115" y="17582"/>
                <wp:lineTo x="5029" y="17582"/>
                <wp:lineTo x="4953" y="18786"/>
                <wp:lineTo x="5639" y="19509"/>
                <wp:lineTo x="6706" y="19509"/>
                <wp:lineTo x="6401" y="20111"/>
                <wp:lineTo x="6858" y="20592"/>
                <wp:lineTo x="11430" y="21435"/>
                <wp:lineTo x="15087" y="21435"/>
                <wp:lineTo x="17907" y="21195"/>
                <wp:lineTo x="21031" y="20352"/>
                <wp:lineTo x="21183" y="19509"/>
                <wp:lineTo x="21336" y="18545"/>
                <wp:lineTo x="21336" y="1204"/>
                <wp:lineTo x="20955" y="963"/>
                <wp:lineTo x="18593" y="0"/>
                <wp:lineTo x="7315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1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576697" w14:textId="5807A431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3832D706" w14:textId="4B96B159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525FB918" w14:textId="3D4CB605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42EFB1A9" w14:textId="007F840E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36F9B087" w14:textId="23F601AA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2FAA94CD" w14:textId="3E1B3F3C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3655B491" w14:textId="10FCFB5E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5443ECB6" w14:textId="4CDCD85C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55DC2D3C" w14:textId="7AC03BB9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1D12F649" w14:textId="7B7F1D31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568FD65D" w14:textId="671F8779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3B197E51" w14:textId="7159AF97" w:rsidR="00FB10F6" w:rsidRDefault="00FB10F6" w:rsidP="000C1EAC">
      <w:pPr>
        <w:rPr>
          <w:rFonts w:ascii="Arial" w:hAnsi="Arial" w:cs="Arial"/>
          <w:sz w:val="21"/>
          <w:szCs w:val="21"/>
          <w:highlight w:val="white"/>
        </w:rPr>
      </w:pPr>
    </w:p>
    <w:p w14:paraId="0806AC48" w14:textId="77777777" w:rsidR="00D570F9" w:rsidRDefault="00D570F9" w:rsidP="00FB10F6">
      <w:pPr>
        <w:rPr>
          <w:rFonts w:ascii="Arial" w:hAnsi="Arial" w:cs="Arial"/>
          <w:sz w:val="21"/>
          <w:szCs w:val="21"/>
          <w:highlight w:val="white"/>
        </w:rPr>
      </w:pPr>
    </w:p>
    <w:p w14:paraId="426C9248" w14:textId="2D8266CC" w:rsidR="00FB10F6" w:rsidRDefault="000C1EAC" w:rsidP="00C72745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Arial" w:hAnsi="Arial" w:cs="Arial"/>
          <w:highlight w:val="white"/>
        </w:rPr>
      </w:pPr>
      <w:r>
        <w:rPr>
          <w:rFonts w:ascii="Arial" w:hAnsi="Arial" w:cs="Arial"/>
          <w:highlight w:val="white"/>
        </w:rPr>
        <w:t>O resultado desta liderança p</w:t>
      </w:r>
      <w:r w:rsidR="00FB10F6" w:rsidRPr="00BC4121">
        <w:rPr>
          <w:rFonts w:ascii="Arial" w:hAnsi="Arial" w:cs="Arial"/>
          <w:highlight w:val="white"/>
        </w:rPr>
        <w:t xml:space="preserve">rovavelmente </w:t>
      </w:r>
      <w:r>
        <w:rPr>
          <w:rFonts w:ascii="Arial" w:hAnsi="Arial" w:cs="Arial"/>
          <w:highlight w:val="white"/>
        </w:rPr>
        <w:t>se ocasiona pelo fato de</w:t>
      </w:r>
      <w:r w:rsidR="00FB10F6" w:rsidRPr="00BC4121">
        <w:rPr>
          <w:rFonts w:ascii="Arial" w:hAnsi="Arial" w:cs="Arial"/>
          <w:highlight w:val="white"/>
        </w:rPr>
        <w:t xml:space="preserve"> serem países onde não há uma produção de vinhos fortalecida</w:t>
      </w:r>
      <w:r w:rsidR="00C72745">
        <w:rPr>
          <w:rFonts w:ascii="Arial" w:hAnsi="Arial" w:cs="Arial"/>
        </w:rPr>
        <w:t xml:space="preserve">, já que é sabido que na </w:t>
      </w:r>
      <w:r w:rsidR="00C72745" w:rsidRPr="00C72745">
        <w:rPr>
          <w:rFonts w:ascii="Arial" w:hAnsi="Arial" w:cs="Arial"/>
        </w:rPr>
        <w:t>Rússia</w:t>
      </w:r>
      <w:r w:rsidR="00C72745">
        <w:rPr>
          <w:rFonts w:ascii="Arial" w:hAnsi="Arial" w:cs="Arial"/>
        </w:rPr>
        <w:t xml:space="preserve">, por exemplo, </w:t>
      </w:r>
      <w:r w:rsidR="00C72745" w:rsidRPr="00C72745">
        <w:rPr>
          <w:rFonts w:ascii="Arial" w:hAnsi="Arial" w:cs="Arial"/>
        </w:rPr>
        <w:t>boa parte dos vinhedos estão acometidos por condições hostis de desenvolvimento com invernos muito rigorosos, solos problemáticos e grandes problemas de sanidade nas bagas.</w:t>
      </w:r>
      <w:r w:rsidR="00C72745">
        <w:rPr>
          <w:rFonts w:ascii="Arial" w:hAnsi="Arial" w:cs="Arial"/>
          <w:highlight w:val="white"/>
        </w:rPr>
        <w:t xml:space="preserve"> E</w:t>
      </w:r>
      <w:r w:rsidR="00FB10F6">
        <w:rPr>
          <w:rFonts w:ascii="Arial" w:hAnsi="Arial" w:cs="Arial"/>
          <w:highlight w:val="white"/>
        </w:rPr>
        <w:t xml:space="preserve"> o Paraguai, m</w:t>
      </w:r>
      <w:r w:rsidR="00FB10F6" w:rsidRPr="00BC4121">
        <w:rPr>
          <w:rFonts w:ascii="Arial" w:hAnsi="Arial" w:cs="Arial"/>
          <w:highlight w:val="white"/>
        </w:rPr>
        <w:t xml:space="preserve">esmo com renda </w:t>
      </w:r>
      <w:r w:rsidR="00FB10F6" w:rsidRPr="00BC4121">
        <w:rPr>
          <w:rFonts w:ascii="Arial" w:hAnsi="Arial" w:cs="Arial"/>
          <w:i/>
          <w:iCs/>
          <w:highlight w:val="white"/>
        </w:rPr>
        <w:t>per capita</w:t>
      </w:r>
      <w:r w:rsidR="00FB10F6" w:rsidRPr="00BC4121">
        <w:rPr>
          <w:rFonts w:ascii="Arial" w:hAnsi="Arial" w:cs="Arial"/>
          <w:highlight w:val="white"/>
        </w:rPr>
        <w:t xml:space="preserve"> baixa, se explica pelo consumo</w:t>
      </w:r>
      <w:r w:rsidR="00FB10F6">
        <w:rPr>
          <w:rFonts w:ascii="Arial" w:hAnsi="Arial" w:cs="Arial"/>
          <w:highlight w:val="white"/>
        </w:rPr>
        <w:t xml:space="preserve"> </w:t>
      </w:r>
      <w:r w:rsidR="00FB10F6" w:rsidRPr="00BC4121">
        <w:rPr>
          <w:rFonts w:ascii="Arial" w:hAnsi="Arial" w:cs="Arial"/>
          <w:highlight w:val="white"/>
        </w:rPr>
        <w:t>de uma parcela da população que tem poder de</w:t>
      </w:r>
      <w:r w:rsidR="00FB10F6">
        <w:rPr>
          <w:rFonts w:ascii="Arial" w:hAnsi="Arial" w:cs="Arial"/>
          <w:highlight w:val="white"/>
        </w:rPr>
        <w:t xml:space="preserve"> </w:t>
      </w:r>
      <w:r w:rsidR="00FB10F6" w:rsidRPr="00BC4121">
        <w:rPr>
          <w:rFonts w:ascii="Arial" w:hAnsi="Arial" w:cs="Arial"/>
          <w:highlight w:val="white"/>
        </w:rPr>
        <w:t>compra. Adicionalmente, a distância geográfica</w:t>
      </w:r>
      <w:r w:rsidR="00FB10F6">
        <w:rPr>
          <w:rFonts w:ascii="Arial" w:hAnsi="Arial" w:cs="Arial"/>
          <w:highlight w:val="white"/>
        </w:rPr>
        <w:t xml:space="preserve"> </w:t>
      </w:r>
      <w:r w:rsidR="00FB10F6" w:rsidRPr="00BC4121">
        <w:rPr>
          <w:rFonts w:ascii="Arial" w:hAnsi="Arial" w:cs="Arial"/>
          <w:highlight w:val="white"/>
        </w:rPr>
        <w:t>do Paraguai, reduz o custo de transporte, portanto,</w:t>
      </w:r>
      <w:r w:rsidR="00FB10F6">
        <w:rPr>
          <w:rFonts w:ascii="Arial" w:hAnsi="Arial" w:cs="Arial"/>
          <w:highlight w:val="white"/>
        </w:rPr>
        <w:t xml:space="preserve"> </w:t>
      </w:r>
      <w:r w:rsidR="00FB10F6" w:rsidRPr="00BC4121">
        <w:rPr>
          <w:rFonts w:ascii="Arial" w:hAnsi="Arial" w:cs="Arial"/>
          <w:highlight w:val="white"/>
        </w:rPr>
        <w:t>torna-se uma vantagem logística</w:t>
      </w:r>
      <w:r w:rsidR="00FB10F6">
        <w:rPr>
          <w:rFonts w:ascii="Arial" w:hAnsi="Arial" w:cs="Arial"/>
          <w:highlight w:val="white"/>
        </w:rPr>
        <w:t>.</w:t>
      </w:r>
    </w:p>
    <w:p w14:paraId="01A9A915" w14:textId="3C1A0442" w:rsidR="00F93789" w:rsidRPr="00F93789" w:rsidRDefault="00F93789" w:rsidP="00F93789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>De forma geral,</w:t>
      </w:r>
      <w:r w:rsidRPr="00F9378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 </w:t>
      </w:r>
      <w:r w:rsidRPr="00F93789">
        <w:rPr>
          <w:rFonts w:ascii="Arial" w:hAnsi="Arial" w:cs="Arial"/>
        </w:rPr>
        <w:t>receita apresentou um crescimento de 11,10% em 2022 comparando com o ano anterior, quanto ao volume de exportação houve uma queda de 12,81%.</w:t>
      </w:r>
    </w:p>
    <w:p w14:paraId="7EAE596D" w14:textId="77777777" w:rsidR="00F93789" w:rsidRPr="00BC4121" w:rsidRDefault="00F93789" w:rsidP="00C72745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Arial" w:hAnsi="Arial" w:cs="Arial"/>
          <w:highlight w:val="white"/>
        </w:rPr>
      </w:pPr>
    </w:p>
    <w:p w14:paraId="644153AF" w14:textId="39344474" w:rsidR="00FB10F6" w:rsidRDefault="00FB10F6" w:rsidP="00FB10F6">
      <w:pPr>
        <w:rPr>
          <w:rFonts w:ascii="Arial" w:hAnsi="Arial" w:cs="Arial"/>
          <w:sz w:val="21"/>
          <w:szCs w:val="21"/>
          <w:highlight w:val="white"/>
        </w:rPr>
      </w:pPr>
    </w:p>
    <w:p w14:paraId="2532F4DA" w14:textId="2EE81973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19252AD8" w14:textId="77777777" w:rsidR="00FB10F6" w:rsidRPr="00BC4121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73131A87" w14:textId="4DC62F21" w:rsidR="006D56FC" w:rsidRDefault="00000000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  <w:r w:rsidRPr="00BC4121">
        <w:rPr>
          <w:rFonts w:ascii="Arial" w:hAnsi="Arial" w:cs="Arial"/>
          <w:noProof/>
          <w:sz w:val="21"/>
          <w:szCs w:val="21"/>
          <w:highlight w:val="white"/>
        </w:rPr>
        <w:lastRenderedPageBreak/>
        <w:drawing>
          <wp:inline distT="114300" distB="114300" distL="114300" distR="114300" wp14:anchorId="6F5E2C15" wp14:editId="0ACE0776">
            <wp:extent cx="5399730" cy="31496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0ADFBA" w14:textId="77777777" w:rsidR="00CA7408" w:rsidRPr="00BC4121" w:rsidRDefault="00CA7408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3EEDB317" w14:textId="77777777" w:rsidR="006D56FC" w:rsidRPr="00BC4121" w:rsidRDefault="00000000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  <w:r w:rsidRPr="00BC4121">
        <w:rPr>
          <w:rFonts w:ascii="Arial" w:hAnsi="Arial" w:cs="Arial"/>
          <w:noProof/>
          <w:sz w:val="21"/>
          <w:szCs w:val="21"/>
          <w:highlight w:val="white"/>
        </w:rPr>
        <w:drawing>
          <wp:inline distT="114300" distB="114300" distL="114300" distR="114300" wp14:anchorId="1D00E7A7" wp14:editId="46C3A478">
            <wp:extent cx="5399730" cy="32512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D139AE" w14:textId="58DA4022" w:rsidR="006D56FC" w:rsidRDefault="006D56FC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47DB44FF" w14:textId="41F2D303" w:rsidR="0096503B" w:rsidRDefault="0096503B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1B95F4E8" w14:textId="62E12173" w:rsidR="0096503B" w:rsidRDefault="0096503B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71CD2951" w14:textId="29231FA3" w:rsidR="0096503B" w:rsidRDefault="0096503B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43817D77" w14:textId="77777777" w:rsidR="00CA7408" w:rsidRDefault="00CA7408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15D025E1" w14:textId="6D49D5FE" w:rsidR="0096503B" w:rsidRDefault="0096503B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44A36663" w14:textId="4B9BBA35" w:rsidR="0096503B" w:rsidRDefault="0096503B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30435FB7" w14:textId="77777777" w:rsidR="0096503B" w:rsidRPr="00BC4121" w:rsidRDefault="0096503B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6E9EAF89" w14:textId="7415B750" w:rsidR="006D56F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  <w:r w:rsidRPr="00BC4121">
        <w:rPr>
          <w:rFonts w:ascii="Arial" w:hAnsi="Arial" w:cs="Arial"/>
          <w:b/>
          <w:sz w:val="28"/>
          <w:szCs w:val="28"/>
        </w:rPr>
        <w:t>Prospecções Futuras</w:t>
      </w:r>
    </w:p>
    <w:p w14:paraId="00266CCE" w14:textId="77777777" w:rsidR="00CC6B5E" w:rsidRDefault="00CC6B5E" w:rsidP="00CC6B5E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hAnsi="Arial" w:cs="Arial"/>
          <w:b/>
          <w:sz w:val="28"/>
          <w:szCs w:val="28"/>
        </w:rPr>
      </w:pPr>
    </w:p>
    <w:p w14:paraId="7A7B780D" w14:textId="54169426" w:rsidR="00CC6B5E" w:rsidRDefault="00CC6B5E" w:rsidP="00CC6B5E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  <w:r>
        <w:rPr>
          <w:noProof/>
        </w:rPr>
        <w:drawing>
          <wp:inline distT="0" distB="0" distL="0" distR="0" wp14:anchorId="013E4C93" wp14:editId="07B2DEB0">
            <wp:extent cx="5400040" cy="2639060"/>
            <wp:effectExtent l="0" t="0" r="0" b="889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E1E96" w14:textId="5D28CE4F" w:rsidR="0096503B" w:rsidRDefault="0096503B" w:rsidP="0096503B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</w:p>
    <w:p w14:paraId="0DBB8C7C" w14:textId="2D952000" w:rsidR="00795F00" w:rsidRDefault="00795F00" w:rsidP="00795F00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</w:p>
    <w:p w14:paraId="416CD8C2" w14:textId="07C45BDA" w:rsidR="00795F00" w:rsidRDefault="00795F00" w:rsidP="00795F00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</w:p>
    <w:p w14:paraId="130477B7" w14:textId="798F1008" w:rsidR="00795F00" w:rsidRPr="00BC4121" w:rsidRDefault="00795F00" w:rsidP="00CA740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noProof/>
          <w:sz w:val="28"/>
          <w:szCs w:val="28"/>
        </w:rPr>
        <w:drawing>
          <wp:inline distT="0" distB="0" distL="0" distR="0" wp14:anchorId="630AD53E" wp14:editId="6B2619B1">
            <wp:extent cx="4384825" cy="3874878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674" cy="3879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1071D" w14:textId="2FB491EA" w:rsidR="006D56FC" w:rsidRDefault="006D56FC">
      <w:pPr>
        <w:jc w:val="center"/>
        <w:rPr>
          <w:rFonts w:ascii="Arial" w:hAnsi="Arial" w:cs="Arial"/>
        </w:rPr>
      </w:pPr>
    </w:p>
    <w:p w14:paraId="3D4E862A" w14:textId="77777777" w:rsidR="00CA7408" w:rsidRPr="00BC4121" w:rsidRDefault="00CA7408">
      <w:pPr>
        <w:jc w:val="center"/>
        <w:rPr>
          <w:rFonts w:ascii="Arial" w:hAnsi="Arial" w:cs="Arial"/>
        </w:rPr>
      </w:pPr>
    </w:p>
    <w:p w14:paraId="003AD68E" w14:textId="77777777" w:rsidR="006D56FC" w:rsidRPr="00BC4121" w:rsidRDefault="00000000">
      <w:pPr>
        <w:rPr>
          <w:rFonts w:ascii="Arial" w:hAnsi="Arial" w:cs="Arial"/>
          <w:b/>
        </w:rPr>
      </w:pPr>
      <w:r w:rsidRPr="00BC4121">
        <w:rPr>
          <w:rFonts w:ascii="Arial" w:hAnsi="Arial" w:cs="Arial"/>
          <w:b/>
        </w:rPr>
        <w:t>RASCUNHOS</w:t>
      </w:r>
    </w:p>
    <w:p w14:paraId="6C45B217" w14:textId="77777777" w:rsidR="006D56FC" w:rsidRPr="00BC4121" w:rsidRDefault="006D56FC">
      <w:pPr>
        <w:rPr>
          <w:rFonts w:ascii="Arial" w:hAnsi="Arial" w:cs="Arial"/>
        </w:rPr>
      </w:pPr>
    </w:p>
    <w:p w14:paraId="48CE1883" w14:textId="77777777" w:rsidR="006D56FC" w:rsidRPr="00BC4121" w:rsidRDefault="00000000">
      <w:pPr>
        <w:rPr>
          <w:rFonts w:ascii="Arial" w:hAnsi="Arial" w:cs="Arial"/>
        </w:rPr>
      </w:pPr>
      <w:r w:rsidRPr="00BC4121">
        <w:rPr>
          <w:rFonts w:ascii="Arial" w:hAnsi="Arial" w:cs="Arial"/>
        </w:rPr>
        <w:t>O Paraguai foi o maior importador de vinho brasileiro em 2016, segundo dados inéditos do Ministério da Indústria e Comércio Exterior.</w:t>
      </w:r>
    </w:p>
    <w:p w14:paraId="258F4111" w14:textId="77777777" w:rsidR="006D56FC" w:rsidRPr="00BC4121" w:rsidRDefault="006D56FC">
      <w:pPr>
        <w:rPr>
          <w:rFonts w:ascii="Arial" w:hAnsi="Arial" w:cs="Arial"/>
        </w:rPr>
      </w:pPr>
    </w:p>
    <w:p w14:paraId="03BFFD19" w14:textId="77777777" w:rsidR="006D56FC" w:rsidRPr="00BC4121" w:rsidRDefault="00000000">
      <w:pPr>
        <w:rPr>
          <w:rFonts w:ascii="Arial" w:hAnsi="Arial" w:cs="Arial"/>
        </w:rPr>
      </w:pPr>
      <w:r w:rsidRPr="00BC4121">
        <w:rPr>
          <w:rFonts w:ascii="Arial" w:hAnsi="Arial" w:cs="Arial"/>
        </w:rPr>
        <w:t>Foram importados cerca de 1 milhão de litros do produto no ano passado, ao custo de US$ 1,7 milhão no total.</w:t>
      </w:r>
    </w:p>
    <w:p w14:paraId="775D6C57" w14:textId="77777777" w:rsidR="006D56FC" w:rsidRPr="00BC4121" w:rsidRDefault="006D56FC">
      <w:pPr>
        <w:rPr>
          <w:rFonts w:ascii="Arial" w:hAnsi="Arial" w:cs="Arial"/>
        </w:rPr>
      </w:pPr>
    </w:p>
    <w:p w14:paraId="561231A7" w14:textId="77777777" w:rsidR="006D56FC" w:rsidRPr="00BC4121" w:rsidRDefault="00000000">
      <w:pPr>
        <w:rPr>
          <w:rFonts w:ascii="Arial" w:hAnsi="Arial" w:cs="Arial"/>
        </w:rPr>
      </w:pPr>
      <w:r w:rsidRPr="00BC4121">
        <w:rPr>
          <w:rFonts w:ascii="Arial" w:hAnsi="Arial" w:cs="Arial"/>
        </w:rPr>
        <w:t>O segundo maior consumidor é os EUA, com importação de 280 mil litros de vinho, ao custo de US$ 830 mil. O Reino Unido aparece logo em seguida: foram exportados 173 mil litros, ao custo de US$ 760 mil.</w:t>
      </w:r>
    </w:p>
    <w:p w14:paraId="1307AAD0" w14:textId="77777777" w:rsidR="006D56FC" w:rsidRPr="00BC4121" w:rsidRDefault="006D56FC">
      <w:pPr>
        <w:rPr>
          <w:rFonts w:ascii="Arial" w:hAnsi="Arial" w:cs="Arial"/>
        </w:rPr>
      </w:pPr>
    </w:p>
    <w:p w14:paraId="2830AA8E" w14:textId="77777777" w:rsidR="006D56FC" w:rsidRPr="00BC4121" w:rsidRDefault="006D56FC">
      <w:pPr>
        <w:rPr>
          <w:rFonts w:ascii="Arial" w:hAnsi="Arial" w:cs="Arial"/>
        </w:rPr>
      </w:pPr>
    </w:p>
    <w:p w14:paraId="6E0BDDE1" w14:textId="77777777" w:rsidR="006D56FC" w:rsidRPr="00BC4121" w:rsidRDefault="00000000">
      <w:pPr>
        <w:rPr>
          <w:rFonts w:ascii="Arial" w:eastAsia="Georgia" w:hAnsi="Arial" w:cs="Arial"/>
          <w:color w:val="414142"/>
          <w:sz w:val="26"/>
          <w:szCs w:val="26"/>
          <w:highlight w:val="white"/>
        </w:rPr>
      </w:pPr>
      <w:r w:rsidRPr="00BC4121">
        <w:rPr>
          <w:rFonts w:ascii="Arial" w:eastAsia="Georgia" w:hAnsi="Arial" w:cs="Arial"/>
          <w:color w:val="414142"/>
          <w:sz w:val="26"/>
          <w:szCs w:val="26"/>
          <w:highlight w:val="white"/>
        </w:rPr>
        <w:t>As exportações de vinho cresceram 43,14% em 2015 em relação a 2016.</w:t>
      </w:r>
    </w:p>
    <w:p w14:paraId="584BE7D7" w14:textId="77777777" w:rsidR="006D56FC" w:rsidRPr="00BC4121" w:rsidRDefault="006D56FC">
      <w:pPr>
        <w:rPr>
          <w:rFonts w:ascii="Arial" w:eastAsia="Georgia" w:hAnsi="Arial" w:cs="Arial"/>
          <w:color w:val="414142"/>
          <w:sz w:val="26"/>
          <w:szCs w:val="26"/>
          <w:highlight w:val="white"/>
        </w:rPr>
      </w:pPr>
    </w:p>
    <w:p w14:paraId="7309FA8B" w14:textId="77777777" w:rsidR="006D56FC" w:rsidRPr="00BC4121" w:rsidRDefault="00000000">
      <w:pPr>
        <w:rPr>
          <w:rFonts w:ascii="Arial" w:eastAsia="Georgia" w:hAnsi="Arial" w:cs="Arial"/>
          <w:color w:val="414142"/>
          <w:sz w:val="26"/>
          <w:szCs w:val="26"/>
          <w:highlight w:val="white"/>
        </w:rPr>
      </w:pPr>
      <w:r w:rsidRPr="00BC4121">
        <w:rPr>
          <w:rFonts w:ascii="Arial" w:eastAsia="Georgia" w:hAnsi="Arial" w:cs="Arial"/>
          <w:color w:val="414142"/>
          <w:sz w:val="26"/>
          <w:szCs w:val="26"/>
          <w:highlight w:val="white"/>
        </w:rPr>
        <w:t>O volume total de vinhos e espumantes exportado em 2012, que inclui os de mesa, vendidos a granel e com menor valor agregado, e os finos, engarrafados e selados por marcas brasileiras, foi de 6.160.985 litros. O País recebeu US$ 6,8 bilhões no ano, 51% a mais do que em 2011, quando o total de vinho comercializado lá fora resultou em US$ 4,5 bilhões. A Rússia é o primeiro no ranking dos 43 países que importam o produto brasileiro, consumidora de 30% do valor total exportado em 2012. Tanto vinho, contudo, é vendido a granel, a US$ 0,46 o litro.</w:t>
      </w:r>
    </w:p>
    <w:p w14:paraId="60DDA5B9" w14:textId="77777777" w:rsidR="006D56FC" w:rsidRPr="00BC4121" w:rsidRDefault="006D56FC">
      <w:pPr>
        <w:rPr>
          <w:rFonts w:ascii="Arial" w:eastAsia="Georgia" w:hAnsi="Arial" w:cs="Arial"/>
          <w:color w:val="414142"/>
          <w:sz w:val="26"/>
          <w:szCs w:val="26"/>
          <w:highlight w:val="white"/>
        </w:rPr>
      </w:pPr>
    </w:p>
    <w:p w14:paraId="322B9488" w14:textId="77777777" w:rsidR="006D56FC" w:rsidRPr="00BC4121" w:rsidRDefault="006D56FC">
      <w:pPr>
        <w:rPr>
          <w:rFonts w:ascii="Arial" w:hAnsi="Arial" w:cs="Arial"/>
        </w:rPr>
      </w:pPr>
    </w:p>
    <w:p w14:paraId="4CEDF594" w14:textId="77777777" w:rsidR="006D56FC" w:rsidRPr="00BC4121" w:rsidRDefault="00000000">
      <w:pPr>
        <w:rPr>
          <w:rFonts w:ascii="Arial" w:hAnsi="Arial" w:cs="Arial"/>
        </w:rPr>
      </w:pPr>
      <w:r w:rsidRPr="00BC4121">
        <w:rPr>
          <w:rFonts w:ascii="Arial" w:hAnsi="Arial" w:cs="Arial"/>
        </w:rPr>
        <w:t xml:space="preserve">A maior parte das vinícolas e vinhedos da Rússia encontram-se em </w:t>
      </w:r>
      <w:proofErr w:type="spellStart"/>
      <w:r w:rsidRPr="00BC4121">
        <w:rPr>
          <w:rFonts w:ascii="Arial" w:hAnsi="Arial" w:cs="Arial"/>
        </w:rPr>
        <w:t>Krasnodor</w:t>
      </w:r>
      <w:proofErr w:type="spellEnd"/>
      <w:r w:rsidRPr="00BC4121">
        <w:rPr>
          <w:rFonts w:ascii="Arial" w:hAnsi="Arial" w:cs="Arial"/>
        </w:rPr>
        <w:t xml:space="preserve"> </w:t>
      </w:r>
      <w:proofErr w:type="spellStart"/>
      <w:r w:rsidRPr="00BC4121">
        <w:rPr>
          <w:rFonts w:ascii="Arial" w:hAnsi="Arial" w:cs="Arial"/>
        </w:rPr>
        <w:t>Krai</w:t>
      </w:r>
      <w:proofErr w:type="spellEnd"/>
      <w:r w:rsidRPr="00BC4121">
        <w:rPr>
          <w:rFonts w:ascii="Arial" w:hAnsi="Arial" w:cs="Arial"/>
        </w:rPr>
        <w:t>, nas proximidades e na costa do Mar Negro e cuja produção - talvez 80% - dá origem a vinhos adocicados, uma preferência do consumidor russo que verte para vinhos com pouca acidez. </w:t>
      </w:r>
    </w:p>
    <w:p w14:paraId="5FF3163D" w14:textId="77777777" w:rsidR="006D56FC" w:rsidRPr="00BC4121" w:rsidRDefault="00000000">
      <w:pPr>
        <w:rPr>
          <w:rFonts w:ascii="Arial" w:hAnsi="Arial" w:cs="Arial"/>
        </w:rPr>
      </w:pPr>
      <w:proofErr w:type="gramStart"/>
      <w:r w:rsidRPr="00BC4121">
        <w:rPr>
          <w:rFonts w:ascii="Arial" w:hAnsi="Arial" w:cs="Arial"/>
        </w:rPr>
        <w:t>Na verdade</w:t>
      </w:r>
      <w:proofErr w:type="gramEnd"/>
      <w:r w:rsidRPr="00BC4121">
        <w:rPr>
          <w:rFonts w:ascii="Arial" w:hAnsi="Arial" w:cs="Arial"/>
        </w:rPr>
        <w:t xml:space="preserve"> desde a década de 90 vários produtores perderam suas licenças por fabricarem vinhos ruins privilegiando a quantidade em detrimento da qualidade sendo que de lá para cá a Rússia tem evoluído na qualidade de seus vinhedos com replantio, investimento em tecnologia e manejo, contratação de profissionais europeus e foco na qualidade se espelhando nos franceses e italianos. Ainda não há na Rússia normação sobre “local de origem protegido”, somente indicação geográfica de procedência e provém deste país a utilização de vasos de barro, as ânforas, no amadurecimento e acondicionamento dos vinhos.</w:t>
      </w:r>
    </w:p>
    <w:p w14:paraId="0BA91C72" w14:textId="77777777" w:rsidR="006D56FC" w:rsidRPr="00BC4121" w:rsidRDefault="00000000">
      <w:pPr>
        <w:rPr>
          <w:rFonts w:ascii="Arial" w:hAnsi="Arial" w:cs="Arial"/>
        </w:rPr>
      </w:pPr>
      <w:r w:rsidRPr="00BC4121">
        <w:rPr>
          <w:rFonts w:ascii="Arial" w:hAnsi="Arial" w:cs="Arial"/>
        </w:rPr>
        <w:lastRenderedPageBreak/>
        <w:t>A Rússia também é um desafio aos enólogos e produtores, afinal boa parte dos vinhedos estão acometidos por condições hostis de desenvolvimento com invernos muito rigorosos, solos problemáticos e grandes problemas de sanidade nas bagas.</w:t>
      </w:r>
    </w:p>
    <w:p w14:paraId="71B505AC" w14:textId="77777777" w:rsidR="006D56FC" w:rsidRPr="00BC4121" w:rsidRDefault="00000000">
      <w:pPr>
        <w:rPr>
          <w:rFonts w:ascii="Arial" w:eastAsia="Merriweather" w:hAnsi="Arial" w:cs="Arial"/>
          <w:color w:val="2F2F2F"/>
          <w:sz w:val="27"/>
          <w:szCs w:val="27"/>
          <w:highlight w:val="white"/>
        </w:rPr>
      </w:pPr>
      <w:r w:rsidRPr="00BC4121">
        <w:rPr>
          <w:rFonts w:ascii="Arial" w:eastAsia="Merriweather" w:hAnsi="Arial" w:cs="Arial"/>
          <w:color w:val="2F2F2F"/>
          <w:sz w:val="27"/>
          <w:szCs w:val="27"/>
          <w:highlight w:val="white"/>
        </w:rPr>
        <w:t>Para Frederico Falcão, estes dados são boas notícias, independentemente da "guerra e da instabilidade terrível" que afeta os dois países. "O vinho faz parte da alimentação, ficamos contentes que as pessoas continuem a comprar vinho português e que os produtores portugueses não tenham feito um boicote às populações dos dois países", diz.</w:t>
      </w:r>
    </w:p>
    <w:p w14:paraId="48A78388" w14:textId="77777777" w:rsidR="006D56FC" w:rsidRPr="00BC4121" w:rsidRDefault="006D56FC">
      <w:pPr>
        <w:rPr>
          <w:rFonts w:ascii="Arial" w:eastAsia="Merriweather" w:hAnsi="Arial" w:cs="Arial"/>
          <w:color w:val="2F2F2F"/>
          <w:sz w:val="27"/>
          <w:szCs w:val="27"/>
          <w:highlight w:val="white"/>
        </w:rPr>
      </w:pPr>
    </w:p>
    <w:p w14:paraId="5D6DCF8C" w14:textId="77777777" w:rsidR="006D56FC" w:rsidRPr="00BC4121" w:rsidRDefault="00000000">
      <w:pPr>
        <w:rPr>
          <w:rFonts w:ascii="Arial" w:eastAsia="Merriweather" w:hAnsi="Arial" w:cs="Arial"/>
          <w:color w:val="2F2F2F"/>
          <w:sz w:val="27"/>
          <w:szCs w:val="27"/>
          <w:highlight w:val="white"/>
        </w:rPr>
      </w:pPr>
      <w:r w:rsidRPr="00BC4121">
        <w:rPr>
          <w:rFonts w:ascii="Arial" w:hAnsi="Arial" w:cs="Arial"/>
          <w:color w:val="191919"/>
          <w:sz w:val="33"/>
          <w:szCs w:val="33"/>
          <w:highlight w:val="white"/>
        </w:rPr>
        <w:t>Se o que se olha é a exportação, os espanhóis ganham. A Espanha é a líder mundial em venda de vinho, com 22,1 milhões de hectolitros no ano passado (segundo o Observatório Espanhol dos Mercados do Vinho, foram 22,8 milhões de hectolitros). O país é seguido de perto pela Itália (21,4 milhões), França (15,4) e, a maior distância, Chile (9,8) e Austrália (8). Mas se em vez do volume se mede o valor dessas exportações, a França e a Itália ganham em receita. Porque o vinho espanhol vende muito, mas é muito barato: a Espanha vende a 1,25 euro (5,25 reais) o litro; os franceses, a seis euros (25,2 reais) em média; os italianos, a 2,78 euros (11,67 reais). Alemanha, Reino Unido e Estados Unidos são os principais importadores em volume de vinho e gasto</w:t>
      </w:r>
    </w:p>
    <w:p w14:paraId="58C01137" w14:textId="77777777" w:rsidR="006D56FC" w:rsidRPr="00BC4121" w:rsidRDefault="006D56FC">
      <w:pPr>
        <w:rPr>
          <w:rFonts w:ascii="Arial" w:eastAsia="Merriweather" w:hAnsi="Arial" w:cs="Arial"/>
          <w:color w:val="2F2F2F"/>
          <w:sz w:val="27"/>
          <w:szCs w:val="27"/>
          <w:highlight w:val="white"/>
        </w:rPr>
      </w:pPr>
    </w:p>
    <w:p w14:paraId="5B613F46" w14:textId="77777777" w:rsidR="006D56FC" w:rsidRPr="00BC4121" w:rsidRDefault="006D56FC">
      <w:pPr>
        <w:rPr>
          <w:rFonts w:ascii="Arial" w:eastAsia="Merriweather" w:hAnsi="Arial" w:cs="Arial"/>
          <w:color w:val="2F2F2F"/>
          <w:sz w:val="27"/>
          <w:szCs w:val="27"/>
          <w:highlight w:val="white"/>
        </w:rPr>
      </w:pPr>
    </w:p>
    <w:p w14:paraId="3CC54788" w14:textId="77777777" w:rsidR="006D56FC" w:rsidRPr="00BC4121" w:rsidRDefault="00000000">
      <w:pPr>
        <w:rPr>
          <w:rFonts w:ascii="Arial" w:hAnsi="Arial" w:cs="Arial"/>
        </w:rPr>
      </w:pPr>
      <w:hyperlink r:id="rId18">
        <w:r w:rsidRPr="00BC4121">
          <w:rPr>
            <w:rFonts w:ascii="Arial" w:hAnsi="Arial" w:cs="Arial"/>
            <w:color w:val="0563C1"/>
            <w:u w:val="single"/>
          </w:rPr>
          <w:t>https://www.oiv.int/what-we-do/data-discovery-report?oiv</w:t>
        </w:r>
      </w:hyperlink>
    </w:p>
    <w:p w14:paraId="775603D8" w14:textId="77777777" w:rsidR="006D56FC" w:rsidRPr="00BC4121" w:rsidRDefault="00000000">
      <w:pPr>
        <w:rPr>
          <w:rFonts w:ascii="Arial" w:hAnsi="Arial" w:cs="Arial"/>
        </w:rPr>
      </w:pPr>
      <w:hyperlink r:id="rId19">
        <w:r w:rsidRPr="00BC4121">
          <w:rPr>
            <w:rFonts w:ascii="Arial" w:hAnsi="Arial" w:cs="Arial"/>
            <w:color w:val="0563C1"/>
            <w:u w:val="single"/>
          </w:rPr>
          <w:t>https://www.oiv.int/what-we-do/country-report?oiv</w:t>
        </w:r>
      </w:hyperlink>
    </w:p>
    <w:p w14:paraId="39DE74B3" w14:textId="77777777" w:rsidR="006D56FC" w:rsidRPr="00BC4121" w:rsidRDefault="00000000">
      <w:pPr>
        <w:rPr>
          <w:rFonts w:ascii="Arial" w:hAnsi="Arial" w:cs="Arial"/>
        </w:rPr>
      </w:pPr>
      <w:r w:rsidRPr="00BC4121">
        <w:rPr>
          <w:rFonts w:ascii="Arial" w:hAnsi="Arial" w:cs="Arial"/>
        </w:rPr>
        <w:t>https://paises.ibge.gov.br/#/mapa/comparar/paraguai?indicador=77823&amp;tema=2&amp;ano=2022</w:t>
      </w:r>
    </w:p>
    <w:p w14:paraId="262FBAFD" w14:textId="77777777" w:rsidR="006D56FC" w:rsidRPr="00BC4121" w:rsidRDefault="00000000">
      <w:pPr>
        <w:rPr>
          <w:rFonts w:ascii="Arial" w:hAnsi="Arial" w:cs="Arial"/>
        </w:rPr>
      </w:pPr>
      <w:r w:rsidRPr="00BC4121">
        <w:rPr>
          <w:rFonts w:ascii="Arial" w:hAnsi="Arial" w:cs="Arial"/>
        </w:rPr>
        <w:t>https://data.worldbank.org/indicator/NY.GDP.PCAP.CD</w:t>
      </w:r>
    </w:p>
    <w:sectPr w:rsidR="006D56FC" w:rsidRPr="00BC4121">
      <w:headerReference w:type="default" r:id="rId20"/>
      <w:footerReference w:type="even" r:id="rId21"/>
      <w:footerReference w:type="default" r:id="rId22"/>
      <w:footerReference w:type="first" r:id="rId23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F0D9CB" w14:textId="77777777" w:rsidR="009C0185" w:rsidRDefault="009C0185">
      <w:pPr>
        <w:spacing w:after="0" w:line="240" w:lineRule="auto"/>
      </w:pPr>
      <w:r>
        <w:separator/>
      </w:r>
    </w:p>
  </w:endnote>
  <w:endnote w:type="continuationSeparator" w:id="0">
    <w:p w14:paraId="50D729D2" w14:textId="77777777" w:rsidR="009C0185" w:rsidRDefault="009C0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D4071" w14:textId="43B56DFE" w:rsidR="0092146E" w:rsidRDefault="0092146E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496EF5" wp14:editId="17821215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7780" b="0"/>
              <wp:wrapNone/>
              <wp:docPr id="11" name="Caixa de Texto 11" descr="Classificação da informação: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C22C9F" w14:textId="6536B61D" w:rsidR="0092146E" w:rsidRPr="0092146E" w:rsidRDefault="0092146E" w:rsidP="0092146E">
                          <w:pPr>
                            <w:spacing w:after="0"/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2146E"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Classificação da informação: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496EF5" id="_x0000_t202" coordsize="21600,21600" o:spt="202" path="m,l,21600r21600,l21600,xe">
              <v:stroke joinstyle="miter"/>
              <v:path gradientshapeok="t" o:connecttype="rect"/>
            </v:shapetype>
            <v:shape id="Caixa de Texto 11" o:spid="_x0000_s1026" type="#_x0000_t202" alt="Classificação da informação: Uso Interno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fill o:detectmouseclick="t"/>
              <v:textbox style="mso-fit-shape-to-text:t" inset="0,0,0,15pt">
                <w:txbxContent>
                  <w:p w14:paraId="65C22C9F" w14:textId="6536B61D" w:rsidR="0092146E" w:rsidRPr="0092146E" w:rsidRDefault="0092146E" w:rsidP="0092146E">
                    <w:pPr>
                      <w:spacing w:after="0"/>
                      <w:rPr>
                        <w:noProof/>
                        <w:color w:val="000000"/>
                        <w:sz w:val="20"/>
                        <w:szCs w:val="20"/>
                      </w:rPr>
                    </w:pPr>
                    <w:r w:rsidRPr="0092146E">
                      <w:rPr>
                        <w:noProof/>
                        <w:color w:val="000000"/>
                        <w:sz w:val="20"/>
                        <w:szCs w:val="20"/>
                      </w:rPr>
                      <w:t>Classificação da informação: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F1521" w14:textId="35A94684" w:rsidR="0092146E" w:rsidRDefault="0092146E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A02F86A" wp14:editId="46D8DC0D">
              <wp:simplePos x="1078302" y="10075653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7780" b="0"/>
              <wp:wrapNone/>
              <wp:docPr id="12" name="Caixa de Texto 12" descr="Classificação da informação: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E2634D" w14:textId="0B08654E" w:rsidR="0092146E" w:rsidRPr="0092146E" w:rsidRDefault="0092146E" w:rsidP="0092146E">
                          <w:pPr>
                            <w:spacing w:after="0"/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2146E"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Classificação da informação: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02F86A" id="_x0000_t202" coordsize="21600,21600" o:spt="202" path="m,l,21600r21600,l21600,xe">
              <v:stroke joinstyle="miter"/>
              <v:path gradientshapeok="t" o:connecttype="rect"/>
            </v:shapetype>
            <v:shape id="Caixa de Texto 12" o:spid="_x0000_s1027" type="#_x0000_t202" alt="Classificação da informação: Uso Interno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fill o:detectmouseclick="t"/>
              <v:textbox style="mso-fit-shape-to-text:t" inset="0,0,0,15pt">
                <w:txbxContent>
                  <w:p w14:paraId="5FE2634D" w14:textId="0B08654E" w:rsidR="0092146E" w:rsidRPr="0092146E" w:rsidRDefault="0092146E" w:rsidP="0092146E">
                    <w:pPr>
                      <w:spacing w:after="0"/>
                      <w:rPr>
                        <w:noProof/>
                        <w:color w:val="000000"/>
                        <w:sz w:val="20"/>
                        <w:szCs w:val="20"/>
                      </w:rPr>
                    </w:pPr>
                    <w:r w:rsidRPr="0092146E">
                      <w:rPr>
                        <w:noProof/>
                        <w:color w:val="000000"/>
                        <w:sz w:val="20"/>
                        <w:szCs w:val="20"/>
                      </w:rPr>
                      <w:t>Classificação da informação: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BDF01" w14:textId="2250FA19" w:rsidR="0092146E" w:rsidRDefault="0092146E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7975B44" wp14:editId="2FB1528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7780" b="0"/>
              <wp:wrapNone/>
              <wp:docPr id="10" name="Caixa de Texto 10" descr="Classificação da informação: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E137D6" w14:textId="5927B940" w:rsidR="0092146E" w:rsidRPr="0092146E" w:rsidRDefault="0092146E" w:rsidP="0092146E">
                          <w:pPr>
                            <w:spacing w:after="0"/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2146E"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Classificação da informação: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975B44" id="_x0000_t202" coordsize="21600,21600" o:spt="202" path="m,l,21600r21600,l21600,xe">
              <v:stroke joinstyle="miter"/>
              <v:path gradientshapeok="t" o:connecttype="rect"/>
            </v:shapetype>
            <v:shape id="Caixa de Texto 10" o:spid="_x0000_s1028" type="#_x0000_t202" alt="Classificação da informação: Uso Interno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fill o:detectmouseclick="t"/>
              <v:textbox style="mso-fit-shape-to-text:t" inset="0,0,0,15pt">
                <w:txbxContent>
                  <w:p w14:paraId="16E137D6" w14:textId="5927B940" w:rsidR="0092146E" w:rsidRPr="0092146E" w:rsidRDefault="0092146E" w:rsidP="0092146E">
                    <w:pPr>
                      <w:spacing w:after="0"/>
                      <w:rPr>
                        <w:noProof/>
                        <w:color w:val="000000"/>
                        <w:sz w:val="20"/>
                        <w:szCs w:val="20"/>
                      </w:rPr>
                    </w:pPr>
                    <w:r w:rsidRPr="0092146E">
                      <w:rPr>
                        <w:noProof/>
                        <w:color w:val="000000"/>
                        <w:sz w:val="20"/>
                        <w:szCs w:val="20"/>
                      </w:rPr>
                      <w:t>Classificação da informação: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1BF77" w14:textId="77777777" w:rsidR="009C0185" w:rsidRDefault="009C0185">
      <w:pPr>
        <w:spacing w:after="0" w:line="240" w:lineRule="auto"/>
      </w:pPr>
      <w:r>
        <w:separator/>
      </w:r>
    </w:p>
  </w:footnote>
  <w:footnote w:type="continuationSeparator" w:id="0">
    <w:p w14:paraId="69EF6279" w14:textId="77777777" w:rsidR="009C0185" w:rsidRDefault="009C01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39F55" w14:textId="77777777" w:rsidR="006D56FC" w:rsidRDefault="006D56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1B02CA"/>
    <w:multiLevelType w:val="multilevel"/>
    <w:tmpl w:val="7A3CB5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76517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6FC"/>
    <w:rsid w:val="000171B7"/>
    <w:rsid w:val="000C1EAC"/>
    <w:rsid w:val="00694893"/>
    <w:rsid w:val="006D56FC"/>
    <w:rsid w:val="00795F00"/>
    <w:rsid w:val="00823238"/>
    <w:rsid w:val="00873E80"/>
    <w:rsid w:val="0092146E"/>
    <w:rsid w:val="0096503B"/>
    <w:rsid w:val="009C0185"/>
    <w:rsid w:val="009D603B"/>
    <w:rsid w:val="00BA4D6E"/>
    <w:rsid w:val="00BC4121"/>
    <w:rsid w:val="00C72745"/>
    <w:rsid w:val="00C77B11"/>
    <w:rsid w:val="00CA7408"/>
    <w:rsid w:val="00CC6B5E"/>
    <w:rsid w:val="00D570F9"/>
    <w:rsid w:val="00DA78DD"/>
    <w:rsid w:val="00F93789"/>
    <w:rsid w:val="00FB1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31560"/>
  <w15:docId w15:val="{20DF8F50-F376-44A5-B39C-A0F76E5AD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Fontepargpadro"/>
    <w:uiPriority w:val="99"/>
    <w:unhideWhenUsed/>
    <w:rsid w:val="00AE4DB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E4DB8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Rodap">
    <w:name w:val="footer"/>
    <w:basedOn w:val="Normal"/>
    <w:link w:val="RodapChar"/>
    <w:uiPriority w:val="99"/>
    <w:unhideWhenUsed/>
    <w:rsid w:val="009214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14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4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vitibrasil.cnpuv.embrapa.br/index.php?opcao=opt_06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oiv.int/what-we-do/data-discovery-report?oiv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hyperlink" Target="https://www.oiv.int/what-we-do/country-report?oiv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rr3XKhwC1dNqxmUfCwxXrnQLUw==">CgMxLjA4AHIhMTRCQzdMVEdzeUxmWFlkVU1ndUFVaGh5dzd4Wm0zSGdh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3372</TotalTime>
  <Pages>7</Pages>
  <Words>934</Words>
  <Characters>5046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Alexandra Batista</dc:creator>
  <cp:lastModifiedBy>Alexandra Batista da Silva</cp:lastModifiedBy>
  <cp:revision>10</cp:revision>
  <dcterms:created xsi:type="dcterms:W3CDTF">2023-10-07T20:43:00Z</dcterms:created>
  <dcterms:modified xsi:type="dcterms:W3CDTF">2023-10-23T03:17:00Z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a,b,c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Classificação da informação: Uso Interno</vt:lpwstr>
  </property>
  <property fmtid="{D5CDD505-2E9C-101B-9397-08002B2CF9AE}" pid="5" name="MSIP_Label_99deea41-824f-4c3c-afd5-7afdfc16eee8_Enabled">
    <vt:lpwstr>true</vt:lpwstr>
  </property>
  <property fmtid="{D5CDD505-2E9C-101B-9397-08002B2CF9AE}" pid="6" name="MSIP_Label_99deea41-824f-4c3c-afd5-7afdfc16eee8_SetDate">
    <vt:lpwstr>2023-10-20T19:51:16Z</vt:lpwstr>
  </property>
  <property fmtid="{D5CDD505-2E9C-101B-9397-08002B2CF9AE}" pid="7" name="MSIP_Label_99deea41-824f-4c3c-afd5-7afdfc16eee8_Method">
    <vt:lpwstr>Standard</vt:lpwstr>
  </property>
  <property fmtid="{D5CDD505-2E9C-101B-9397-08002B2CF9AE}" pid="8" name="MSIP_Label_99deea41-824f-4c3c-afd5-7afdfc16eee8_Name">
    <vt:lpwstr>99deea41-824f-4c3c-afd5-7afdfc16eee8</vt:lpwstr>
  </property>
  <property fmtid="{D5CDD505-2E9C-101B-9397-08002B2CF9AE}" pid="9" name="MSIP_Label_99deea41-824f-4c3c-afd5-7afdfc16eee8_SiteId">
    <vt:lpwstr>3223964c-6e1f-48ba-b705-423351281a8c</vt:lpwstr>
  </property>
  <property fmtid="{D5CDD505-2E9C-101B-9397-08002B2CF9AE}" pid="10" name="MSIP_Label_99deea41-824f-4c3c-afd5-7afdfc16eee8_ActionId">
    <vt:lpwstr>da4eb4d0-56eb-4023-8612-11f922625700</vt:lpwstr>
  </property>
  <property fmtid="{D5CDD505-2E9C-101B-9397-08002B2CF9AE}" pid="11" name="MSIP_Label_99deea41-824f-4c3c-afd5-7afdfc16eee8_ContentBits">
    <vt:lpwstr>2</vt:lpwstr>
  </property>
</Properties>
</file>