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F5F6F" w14:textId="77777777" w:rsidR="0056440F" w:rsidRPr="00217F47" w:rsidRDefault="0056440F" w:rsidP="00217F4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5EE0F825" wp14:editId="779C9F4B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6118860" cy="353568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1CF29E" w14:textId="77777777" w:rsidR="0056440F" w:rsidRDefault="0056440F" w:rsidP="00AB554E">
      <w:pPr>
        <w:jc w:val="center"/>
        <w:rPr>
          <w:rFonts w:asciiTheme="majorHAnsi" w:hAnsiTheme="majorHAnsi" w:cstheme="majorHAnsi"/>
          <w:color w:val="002060"/>
          <w:sz w:val="56"/>
          <w:szCs w:val="56"/>
        </w:rPr>
      </w:pPr>
    </w:p>
    <w:p w14:paraId="0694458F" w14:textId="77777777" w:rsidR="00AB554E" w:rsidRDefault="00AB554E" w:rsidP="00AB554E">
      <w:pPr>
        <w:jc w:val="center"/>
        <w:rPr>
          <w:rFonts w:asciiTheme="majorHAnsi" w:hAnsiTheme="majorHAnsi" w:cstheme="majorHAnsi"/>
          <w:color w:val="002060"/>
          <w:sz w:val="56"/>
          <w:szCs w:val="56"/>
        </w:rPr>
      </w:pPr>
      <w:r w:rsidRPr="00AB554E">
        <w:rPr>
          <w:rFonts w:asciiTheme="majorHAnsi" w:hAnsiTheme="majorHAnsi" w:cstheme="majorHAnsi"/>
          <w:color w:val="002060"/>
          <w:sz w:val="56"/>
          <w:szCs w:val="56"/>
        </w:rPr>
        <w:t>Progetto di Statistica II</w:t>
      </w:r>
      <w:r w:rsidR="00E815E8">
        <w:rPr>
          <w:rFonts w:asciiTheme="majorHAnsi" w:hAnsiTheme="majorHAnsi" w:cstheme="majorHAnsi"/>
          <w:color w:val="002060"/>
          <w:sz w:val="56"/>
          <w:szCs w:val="56"/>
        </w:rPr>
        <w:t xml:space="preserve"> – Parte I</w:t>
      </w:r>
    </w:p>
    <w:p w14:paraId="013D2E3C" w14:textId="77777777" w:rsidR="00AB554E" w:rsidRDefault="00AB554E" w:rsidP="00AB554E">
      <w:pPr>
        <w:jc w:val="center"/>
        <w:rPr>
          <w:rFonts w:asciiTheme="majorHAnsi" w:hAnsiTheme="majorHAnsi" w:cstheme="majorHAnsi"/>
          <w:color w:val="002060"/>
          <w:sz w:val="40"/>
          <w:szCs w:val="40"/>
        </w:rPr>
      </w:pPr>
      <w:r w:rsidRPr="00AB554E">
        <w:rPr>
          <w:rFonts w:asciiTheme="majorHAnsi" w:hAnsiTheme="majorHAnsi" w:cstheme="majorHAnsi"/>
          <w:color w:val="002060"/>
          <w:sz w:val="40"/>
          <w:szCs w:val="40"/>
        </w:rPr>
        <w:t>A.A. 201</w:t>
      </w:r>
      <w:r w:rsidR="00DE6D3E">
        <w:rPr>
          <w:rFonts w:asciiTheme="majorHAnsi" w:hAnsiTheme="majorHAnsi" w:cstheme="majorHAnsi"/>
          <w:color w:val="002060"/>
          <w:sz w:val="40"/>
          <w:szCs w:val="40"/>
        </w:rPr>
        <w:t>9</w:t>
      </w:r>
      <w:r w:rsidRPr="00AB554E">
        <w:rPr>
          <w:rFonts w:asciiTheme="majorHAnsi" w:hAnsiTheme="majorHAnsi" w:cstheme="majorHAnsi"/>
          <w:color w:val="002060"/>
          <w:sz w:val="40"/>
          <w:szCs w:val="40"/>
        </w:rPr>
        <w:t>/20</w:t>
      </w:r>
      <w:r w:rsidR="00DE6D3E">
        <w:rPr>
          <w:rFonts w:asciiTheme="majorHAnsi" w:hAnsiTheme="majorHAnsi" w:cstheme="majorHAnsi"/>
          <w:color w:val="002060"/>
          <w:sz w:val="40"/>
          <w:szCs w:val="40"/>
        </w:rPr>
        <w:t>20</w:t>
      </w:r>
    </w:p>
    <w:p w14:paraId="23235884" w14:textId="77777777" w:rsidR="00E815E8" w:rsidRDefault="00E815E8" w:rsidP="00AB554E">
      <w:pPr>
        <w:jc w:val="center"/>
        <w:rPr>
          <w:rFonts w:asciiTheme="majorHAnsi" w:hAnsiTheme="majorHAnsi" w:cstheme="majorHAnsi"/>
          <w:color w:val="002060"/>
          <w:sz w:val="40"/>
          <w:szCs w:val="40"/>
        </w:rPr>
      </w:pPr>
    </w:p>
    <w:p w14:paraId="1E077395" w14:textId="77777777" w:rsidR="00AB554E" w:rsidRPr="00E815E8" w:rsidRDefault="00AB554E" w:rsidP="00AB554E">
      <w:pPr>
        <w:jc w:val="center"/>
        <w:rPr>
          <w:rFonts w:asciiTheme="majorHAnsi" w:hAnsiTheme="majorHAnsi" w:cstheme="majorHAnsi"/>
          <w:color w:val="002060"/>
          <w:sz w:val="36"/>
          <w:szCs w:val="36"/>
        </w:rPr>
      </w:pPr>
      <w:r w:rsidRPr="00E815E8">
        <w:rPr>
          <w:rFonts w:asciiTheme="majorHAnsi" w:hAnsiTheme="majorHAnsi" w:cstheme="majorHAnsi"/>
          <w:color w:val="002060"/>
          <w:sz w:val="36"/>
          <w:szCs w:val="36"/>
        </w:rPr>
        <w:t xml:space="preserve">Alessio Schiavo </w:t>
      </w:r>
    </w:p>
    <w:p w14:paraId="1EE9DFE1" w14:textId="77777777" w:rsidR="00AB554E" w:rsidRPr="005E46E9" w:rsidRDefault="005E46E9" w:rsidP="00AB554E">
      <w:pPr>
        <w:jc w:val="center"/>
        <w:rPr>
          <w:rFonts w:asciiTheme="majorHAnsi" w:hAnsiTheme="majorHAnsi" w:cstheme="majorHAnsi"/>
          <w:color w:val="002060"/>
          <w:sz w:val="32"/>
          <w:szCs w:val="32"/>
        </w:rPr>
      </w:pPr>
      <w:r w:rsidRPr="005E46E9">
        <w:rPr>
          <w:rFonts w:asciiTheme="majorHAnsi" w:hAnsiTheme="majorHAnsi" w:cstheme="majorHAnsi"/>
          <w:color w:val="002060"/>
          <w:sz w:val="32"/>
          <w:szCs w:val="32"/>
        </w:rPr>
        <w:t>506608</w:t>
      </w:r>
    </w:p>
    <w:p w14:paraId="0D3E742D" w14:textId="77777777" w:rsidR="006E7203" w:rsidRDefault="00AB554E" w:rsidP="006E720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32432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8B5F" w14:textId="77777777" w:rsidR="006E7203" w:rsidRDefault="006E7203">
          <w:pPr>
            <w:pStyle w:val="Titolosommario"/>
            <w:rPr>
              <w:sz w:val="40"/>
              <w:szCs w:val="40"/>
            </w:rPr>
          </w:pPr>
          <w:r w:rsidRPr="00076FB4">
            <w:rPr>
              <w:sz w:val="40"/>
              <w:szCs w:val="40"/>
            </w:rPr>
            <w:t>Sommario</w:t>
          </w:r>
        </w:p>
        <w:p w14:paraId="601E935D" w14:textId="77777777" w:rsidR="00E540C6" w:rsidRPr="00E540C6" w:rsidRDefault="00E540C6" w:rsidP="00E540C6">
          <w:pPr>
            <w:rPr>
              <w:lang w:eastAsia="it-IT"/>
            </w:rPr>
          </w:pPr>
        </w:p>
        <w:p w14:paraId="100842CC" w14:textId="6FB35075" w:rsidR="006E7203" w:rsidRPr="00076FB4" w:rsidRDefault="006E7203" w:rsidP="00076FB4">
          <w:pPr>
            <w:pStyle w:val="Sommario1"/>
            <w:tabs>
              <w:tab w:val="right" w:leader="dot" w:pos="9628"/>
            </w:tabs>
            <w:spacing w:after="240"/>
            <w:rPr>
              <w:rFonts w:eastAsiaTheme="minorEastAsia"/>
              <w:noProof/>
              <w:sz w:val="28"/>
              <w:szCs w:val="28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38755" w:history="1">
            <w:r w:rsidRPr="00076FB4">
              <w:rPr>
                <w:rStyle w:val="Collegamentoipertestuale"/>
                <w:noProof/>
                <w:sz w:val="28"/>
                <w:szCs w:val="28"/>
              </w:rPr>
              <w:t>1. Introduzione e scopo</w:t>
            </w:r>
            <w:r w:rsidRPr="00076FB4">
              <w:rPr>
                <w:noProof/>
                <w:webHidden/>
                <w:sz w:val="28"/>
                <w:szCs w:val="28"/>
              </w:rPr>
              <w:tab/>
            </w:r>
            <w:r w:rsidRPr="00076FB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76FB4">
              <w:rPr>
                <w:noProof/>
                <w:webHidden/>
                <w:sz w:val="28"/>
                <w:szCs w:val="28"/>
              </w:rPr>
              <w:instrText xml:space="preserve"> PAGEREF _Toc25938755 \h </w:instrText>
            </w:r>
            <w:r w:rsidRPr="00076FB4">
              <w:rPr>
                <w:noProof/>
                <w:webHidden/>
                <w:sz w:val="28"/>
                <w:szCs w:val="28"/>
              </w:rPr>
            </w:r>
            <w:r w:rsidRPr="00076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3AA">
              <w:rPr>
                <w:noProof/>
                <w:webHidden/>
                <w:sz w:val="28"/>
                <w:szCs w:val="28"/>
              </w:rPr>
              <w:t>3</w:t>
            </w:r>
            <w:r w:rsidRPr="00076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74C66" w14:textId="32E5415D" w:rsidR="006E7203" w:rsidRPr="00076FB4" w:rsidRDefault="00641C68" w:rsidP="00076FB4">
          <w:pPr>
            <w:pStyle w:val="Sommario1"/>
            <w:tabs>
              <w:tab w:val="right" w:leader="dot" w:pos="9628"/>
            </w:tabs>
            <w:spacing w:after="240"/>
            <w:rPr>
              <w:rFonts w:eastAsiaTheme="minorEastAsia"/>
              <w:noProof/>
              <w:sz w:val="28"/>
              <w:szCs w:val="28"/>
              <w:lang w:eastAsia="it-IT"/>
            </w:rPr>
          </w:pPr>
          <w:hyperlink w:anchor="_Toc25938756" w:history="1">
            <w:r w:rsidR="006E7203" w:rsidRPr="00076FB4">
              <w:rPr>
                <w:rStyle w:val="Collegamentoipertestuale"/>
                <w:noProof/>
                <w:sz w:val="28"/>
                <w:szCs w:val="28"/>
              </w:rPr>
              <w:t>2. Reperimento dei dati e costruzione del dataset</w:t>
            </w:r>
            <w:r w:rsidR="006E7203" w:rsidRPr="00076FB4">
              <w:rPr>
                <w:noProof/>
                <w:webHidden/>
                <w:sz w:val="28"/>
                <w:szCs w:val="28"/>
              </w:rPr>
              <w:tab/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begin"/>
            </w:r>
            <w:r w:rsidR="006E7203" w:rsidRPr="00076FB4">
              <w:rPr>
                <w:noProof/>
                <w:webHidden/>
                <w:sz w:val="28"/>
                <w:szCs w:val="28"/>
              </w:rPr>
              <w:instrText xml:space="preserve"> PAGEREF _Toc25938756 \h </w:instrText>
            </w:r>
            <w:r w:rsidR="006E7203" w:rsidRPr="00076FB4">
              <w:rPr>
                <w:noProof/>
                <w:webHidden/>
                <w:sz w:val="28"/>
                <w:szCs w:val="28"/>
              </w:rPr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3AA">
              <w:rPr>
                <w:noProof/>
                <w:webHidden/>
                <w:sz w:val="28"/>
                <w:szCs w:val="28"/>
              </w:rPr>
              <w:t>3</w:t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3AB90C" w14:textId="236AFD08" w:rsidR="006E7203" w:rsidRPr="00076FB4" w:rsidRDefault="00641C68" w:rsidP="00076FB4">
          <w:pPr>
            <w:pStyle w:val="Sommario2"/>
            <w:tabs>
              <w:tab w:val="right" w:leader="dot" w:pos="9628"/>
            </w:tabs>
            <w:spacing w:after="240"/>
            <w:rPr>
              <w:rFonts w:eastAsiaTheme="minorEastAsia"/>
              <w:noProof/>
              <w:sz w:val="28"/>
              <w:szCs w:val="28"/>
              <w:lang w:eastAsia="it-IT"/>
            </w:rPr>
          </w:pPr>
          <w:hyperlink w:anchor="_Toc25938757" w:history="1">
            <w:r w:rsidR="006E7203" w:rsidRPr="00076FB4">
              <w:rPr>
                <w:rStyle w:val="Collegamentoipertestuale"/>
                <w:noProof/>
                <w:sz w:val="28"/>
                <w:szCs w:val="28"/>
              </w:rPr>
              <w:t>2.1 Fattori scelti</w:t>
            </w:r>
            <w:r w:rsidR="006E7203" w:rsidRPr="00076FB4">
              <w:rPr>
                <w:noProof/>
                <w:webHidden/>
                <w:sz w:val="28"/>
                <w:szCs w:val="28"/>
              </w:rPr>
              <w:tab/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begin"/>
            </w:r>
            <w:r w:rsidR="006E7203" w:rsidRPr="00076FB4">
              <w:rPr>
                <w:noProof/>
                <w:webHidden/>
                <w:sz w:val="28"/>
                <w:szCs w:val="28"/>
              </w:rPr>
              <w:instrText xml:space="preserve"> PAGEREF _Toc25938757 \h </w:instrText>
            </w:r>
            <w:r w:rsidR="006E7203" w:rsidRPr="00076FB4">
              <w:rPr>
                <w:noProof/>
                <w:webHidden/>
                <w:sz w:val="28"/>
                <w:szCs w:val="28"/>
              </w:rPr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3AA">
              <w:rPr>
                <w:noProof/>
                <w:webHidden/>
                <w:sz w:val="28"/>
                <w:szCs w:val="28"/>
              </w:rPr>
              <w:t>3</w:t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9F2F3" w14:textId="11F567A9" w:rsidR="006E7203" w:rsidRPr="00076FB4" w:rsidRDefault="00641C68" w:rsidP="00076FB4">
          <w:pPr>
            <w:pStyle w:val="Sommario3"/>
            <w:tabs>
              <w:tab w:val="right" w:leader="dot" w:pos="9628"/>
            </w:tabs>
            <w:spacing w:after="240"/>
            <w:rPr>
              <w:rFonts w:eastAsiaTheme="minorEastAsia"/>
              <w:noProof/>
              <w:sz w:val="28"/>
              <w:szCs w:val="28"/>
              <w:lang w:eastAsia="it-IT"/>
            </w:rPr>
          </w:pPr>
          <w:hyperlink w:anchor="_Toc25938758" w:history="1">
            <w:r w:rsidR="006E7203" w:rsidRPr="00076FB4">
              <w:rPr>
                <w:rStyle w:val="Collegamentoipertestuale"/>
                <w:noProof/>
                <w:sz w:val="28"/>
                <w:szCs w:val="28"/>
              </w:rPr>
              <w:t>2.1.1 Primary Energy Consumption</w:t>
            </w:r>
            <w:r w:rsidR="006E7203" w:rsidRPr="00076FB4">
              <w:rPr>
                <w:noProof/>
                <w:webHidden/>
                <w:sz w:val="28"/>
                <w:szCs w:val="28"/>
              </w:rPr>
              <w:tab/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begin"/>
            </w:r>
            <w:r w:rsidR="006E7203" w:rsidRPr="00076FB4">
              <w:rPr>
                <w:noProof/>
                <w:webHidden/>
                <w:sz w:val="28"/>
                <w:szCs w:val="28"/>
              </w:rPr>
              <w:instrText xml:space="preserve"> PAGEREF _Toc25938758 \h </w:instrText>
            </w:r>
            <w:r w:rsidR="006E7203" w:rsidRPr="00076FB4">
              <w:rPr>
                <w:noProof/>
                <w:webHidden/>
                <w:sz w:val="28"/>
                <w:szCs w:val="28"/>
              </w:rPr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3AA">
              <w:rPr>
                <w:noProof/>
                <w:webHidden/>
                <w:sz w:val="28"/>
                <w:szCs w:val="28"/>
              </w:rPr>
              <w:t>3</w:t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A3C33" w14:textId="3C30EE78" w:rsidR="006E7203" w:rsidRPr="00076FB4" w:rsidRDefault="00641C68" w:rsidP="00076FB4">
          <w:pPr>
            <w:pStyle w:val="Sommario3"/>
            <w:tabs>
              <w:tab w:val="right" w:leader="dot" w:pos="9628"/>
            </w:tabs>
            <w:spacing w:after="240"/>
            <w:rPr>
              <w:rFonts w:eastAsiaTheme="minorEastAsia"/>
              <w:noProof/>
              <w:sz w:val="28"/>
              <w:szCs w:val="28"/>
              <w:lang w:eastAsia="it-IT"/>
            </w:rPr>
          </w:pPr>
          <w:hyperlink w:anchor="_Toc25938759" w:history="1">
            <w:r w:rsidR="006E7203" w:rsidRPr="00076FB4">
              <w:rPr>
                <w:rStyle w:val="Collegamentoipertestuale"/>
                <w:noProof/>
                <w:sz w:val="28"/>
                <w:szCs w:val="28"/>
              </w:rPr>
              <w:t>2.1.2 Air passengers transported</w:t>
            </w:r>
            <w:r w:rsidR="006E7203" w:rsidRPr="00076FB4">
              <w:rPr>
                <w:noProof/>
                <w:webHidden/>
                <w:sz w:val="28"/>
                <w:szCs w:val="28"/>
              </w:rPr>
              <w:tab/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begin"/>
            </w:r>
            <w:r w:rsidR="006E7203" w:rsidRPr="00076FB4">
              <w:rPr>
                <w:noProof/>
                <w:webHidden/>
                <w:sz w:val="28"/>
                <w:szCs w:val="28"/>
              </w:rPr>
              <w:instrText xml:space="preserve"> PAGEREF _Toc25938759 \h </w:instrText>
            </w:r>
            <w:r w:rsidR="006E7203" w:rsidRPr="00076FB4">
              <w:rPr>
                <w:noProof/>
                <w:webHidden/>
                <w:sz w:val="28"/>
                <w:szCs w:val="28"/>
              </w:rPr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3AA">
              <w:rPr>
                <w:noProof/>
                <w:webHidden/>
                <w:sz w:val="28"/>
                <w:szCs w:val="28"/>
              </w:rPr>
              <w:t>4</w:t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46E41" w14:textId="7CD91573" w:rsidR="006E7203" w:rsidRPr="00076FB4" w:rsidRDefault="00641C68" w:rsidP="00076FB4">
          <w:pPr>
            <w:pStyle w:val="Sommario3"/>
            <w:tabs>
              <w:tab w:val="right" w:leader="dot" w:pos="9628"/>
            </w:tabs>
            <w:spacing w:after="240"/>
            <w:rPr>
              <w:rFonts w:eastAsiaTheme="minorEastAsia"/>
              <w:noProof/>
              <w:sz w:val="28"/>
              <w:szCs w:val="28"/>
              <w:lang w:eastAsia="it-IT"/>
            </w:rPr>
          </w:pPr>
          <w:hyperlink w:anchor="_Toc25938760" w:history="1">
            <w:r w:rsidR="006E7203" w:rsidRPr="00076FB4">
              <w:rPr>
                <w:rStyle w:val="Collegamentoipertestuale"/>
                <w:noProof/>
                <w:sz w:val="28"/>
                <w:szCs w:val="28"/>
              </w:rPr>
              <w:t>2.1.3 Road freight transport</w:t>
            </w:r>
            <w:r w:rsidR="006E7203" w:rsidRPr="00076FB4">
              <w:rPr>
                <w:noProof/>
                <w:webHidden/>
                <w:sz w:val="28"/>
                <w:szCs w:val="28"/>
              </w:rPr>
              <w:tab/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begin"/>
            </w:r>
            <w:r w:rsidR="006E7203" w:rsidRPr="00076FB4">
              <w:rPr>
                <w:noProof/>
                <w:webHidden/>
                <w:sz w:val="28"/>
                <w:szCs w:val="28"/>
              </w:rPr>
              <w:instrText xml:space="preserve"> PAGEREF _Toc25938760 \h </w:instrText>
            </w:r>
            <w:r w:rsidR="006E7203" w:rsidRPr="00076FB4">
              <w:rPr>
                <w:noProof/>
                <w:webHidden/>
                <w:sz w:val="28"/>
                <w:szCs w:val="28"/>
              </w:rPr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3AA">
              <w:rPr>
                <w:noProof/>
                <w:webHidden/>
                <w:sz w:val="28"/>
                <w:szCs w:val="28"/>
              </w:rPr>
              <w:t>4</w:t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36AC07" w14:textId="680D7910" w:rsidR="006E7203" w:rsidRPr="00076FB4" w:rsidRDefault="00641C68" w:rsidP="00076FB4">
          <w:pPr>
            <w:pStyle w:val="Sommario3"/>
            <w:tabs>
              <w:tab w:val="right" w:leader="dot" w:pos="9628"/>
            </w:tabs>
            <w:spacing w:after="240"/>
            <w:rPr>
              <w:rFonts w:eastAsiaTheme="minorEastAsia"/>
              <w:noProof/>
              <w:sz w:val="28"/>
              <w:szCs w:val="28"/>
              <w:lang w:eastAsia="it-IT"/>
            </w:rPr>
          </w:pPr>
          <w:hyperlink w:anchor="_Toc25938761" w:history="1">
            <w:r w:rsidR="006E7203" w:rsidRPr="00076FB4">
              <w:rPr>
                <w:rStyle w:val="Collegamentoipertestuale"/>
                <w:noProof/>
                <w:sz w:val="28"/>
                <w:szCs w:val="28"/>
              </w:rPr>
              <w:t>2.1.4 Generation of waste</w:t>
            </w:r>
            <w:r w:rsidR="006E7203" w:rsidRPr="00076FB4">
              <w:rPr>
                <w:noProof/>
                <w:webHidden/>
                <w:sz w:val="28"/>
                <w:szCs w:val="28"/>
              </w:rPr>
              <w:tab/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begin"/>
            </w:r>
            <w:r w:rsidR="006E7203" w:rsidRPr="00076FB4">
              <w:rPr>
                <w:noProof/>
                <w:webHidden/>
                <w:sz w:val="28"/>
                <w:szCs w:val="28"/>
              </w:rPr>
              <w:instrText xml:space="preserve"> PAGEREF _Toc25938761 \h </w:instrText>
            </w:r>
            <w:r w:rsidR="006E7203" w:rsidRPr="00076FB4">
              <w:rPr>
                <w:noProof/>
                <w:webHidden/>
                <w:sz w:val="28"/>
                <w:szCs w:val="28"/>
              </w:rPr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3AA">
              <w:rPr>
                <w:noProof/>
                <w:webHidden/>
                <w:sz w:val="28"/>
                <w:szCs w:val="28"/>
              </w:rPr>
              <w:t>4</w:t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2381F" w14:textId="23342B54" w:rsidR="006E7203" w:rsidRPr="00076FB4" w:rsidRDefault="00641C68" w:rsidP="00076FB4">
          <w:pPr>
            <w:pStyle w:val="Sommario3"/>
            <w:tabs>
              <w:tab w:val="right" w:leader="dot" w:pos="9628"/>
            </w:tabs>
            <w:spacing w:after="240"/>
            <w:rPr>
              <w:rFonts w:eastAsiaTheme="minorEastAsia"/>
              <w:noProof/>
              <w:sz w:val="28"/>
              <w:szCs w:val="28"/>
              <w:lang w:eastAsia="it-IT"/>
            </w:rPr>
          </w:pPr>
          <w:hyperlink w:anchor="_Toc25938762" w:history="1">
            <w:r w:rsidR="006E7203" w:rsidRPr="00076FB4">
              <w:rPr>
                <w:rStyle w:val="Collegamentoipertestuale"/>
                <w:noProof/>
                <w:sz w:val="28"/>
                <w:szCs w:val="28"/>
              </w:rPr>
              <w:t>2.1.5 Utilised agricultural area</w:t>
            </w:r>
            <w:r w:rsidR="006E7203" w:rsidRPr="00076FB4">
              <w:rPr>
                <w:noProof/>
                <w:webHidden/>
                <w:sz w:val="28"/>
                <w:szCs w:val="28"/>
              </w:rPr>
              <w:tab/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begin"/>
            </w:r>
            <w:r w:rsidR="006E7203" w:rsidRPr="00076FB4">
              <w:rPr>
                <w:noProof/>
                <w:webHidden/>
                <w:sz w:val="28"/>
                <w:szCs w:val="28"/>
              </w:rPr>
              <w:instrText xml:space="preserve"> PAGEREF _Toc25938762 \h </w:instrText>
            </w:r>
            <w:r w:rsidR="006E7203" w:rsidRPr="00076FB4">
              <w:rPr>
                <w:noProof/>
                <w:webHidden/>
                <w:sz w:val="28"/>
                <w:szCs w:val="28"/>
              </w:rPr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3AA">
              <w:rPr>
                <w:noProof/>
                <w:webHidden/>
                <w:sz w:val="28"/>
                <w:szCs w:val="28"/>
              </w:rPr>
              <w:t>4</w:t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DFE437" w14:textId="728277B5" w:rsidR="006E7203" w:rsidRPr="00076FB4" w:rsidRDefault="00641C68" w:rsidP="00076FB4">
          <w:pPr>
            <w:pStyle w:val="Sommario3"/>
            <w:tabs>
              <w:tab w:val="right" w:leader="dot" w:pos="9628"/>
            </w:tabs>
            <w:spacing w:after="240"/>
            <w:rPr>
              <w:rFonts w:eastAsiaTheme="minorEastAsia"/>
              <w:noProof/>
              <w:sz w:val="28"/>
              <w:szCs w:val="28"/>
              <w:lang w:eastAsia="it-IT"/>
            </w:rPr>
          </w:pPr>
          <w:hyperlink w:anchor="_Toc25938763" w:history="1">
            <w:r w:rsidR="006E7203" w:rsidRPr="00076FB4">
              <w:rPr>
                <w:rStyle w:val="Collegamentoipertestuale"/>
                <w:noProof/>
                <w:sz w:val="28"/>
                <w:szCs w:val="28"/>
              </w:rPr>
              <w:t>2.1.6 Bovine population</w:t>
            </w:r>
            <w:r w:rsidR="006E7203" w:rsidRPr="00076FB4">
              <w:rPr>
                <w:noProof/>
                <w:webHidden/>
                <w:sz w:val="28"/>
                <w:szCs w:val="28"/>
              </w:rPr>
              <w:tab/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begin"/>
            </w:r>
            <w:r w:rsidR="006E7203" w:rsidRPr="00076FB4">
              <w:rPr>
                <w:noProof/>
                <w:webHidden/>
                <w:sz w:val="28"/>
                <w:szCs w:val="28"/>
              </w:rPr>
              <w:instrText xml:space="preserve"> PAGEREF _Toc25938763 \h </w:instrText>
            </w:r>
            <w:r w:rsidR="006E7203" w:rsidRPr="00076FB4">
              <w:rPr>
                <w:noProof/>
                <w:webHidden/>
                <w:sz w:val="28"/>
                <w:szCs w:val="28"/>
              </w:rPr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3AA">
              <w:rPr>
                <w:noProof/>
                <w:webHidden/>
                <w:sz w:val="28"/>
                <w:szCs w:val="28"/>
              </w:rPr>
              <w:t>5</w:t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2DB7D" w14:textId="6FC0654C" w:rsidR="006E7203" w:rsidRPr="00076FB4" w:rsidRDefault="00641C68" w:rsidP="00076FB4">
          <w:pPr>
            <w:pStyle w:val="Sommario3"/>
            <w:tabs>
              <w:tab w:val="right" w:leader="dot" w:pos="9628"/>
            </w:tabs>
            <w:spacing w:after="240"/>
            <w:rPr>
              <w:rFonts w:eastAsiaTheme="minorEastAsia"/>
              <w:noProof/>
              <w:sz w:val="28"/>
              <w:szCs w:val="28"/>
              <w:lang w:eastAsia="it-IT"/>
            </w:rPr>
          </w:pPr>
          <w:hyperlink w:anchor="_Toc25938764" w:history="1">
            <w:r w:rsidR="006E7203" w:rsidRPr="00076FB4">
              <w:rPr>
                <w:rStyle w:val="Collegamentoipertestuale"/>
                <w:noProof/>
                <w:sz w:val="28"/>
                <w:szCs w:val="28"/>
              </w:rPr>
              <w:t>2.1.7 Electricity production capacities for renewables</w:t>
            </w:r>
            <w:r w:rsidR="006E7203" w:rsidRPr="00076FB4">
              <w:rPr>
                <w:noProof/>
                <w:webHidden/>
                <w:sz w:val="28"/>
                <w:szCs w:val="28"/>
              </w:rPr>
              <w:tab/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begin"/>
            </w:r>
            <w:r w:rsidR="006E7203" w:rsidRPr="00076FB4">
              <w:rPr>
                <w:noProof/>
                <w:webHidden/>
                <w:sz w:val="28"/>
                <w:szCs w:val="28"/>
              </w:rPr>
              <w:instrText xml:space="preserve"> PAGEREF _Toc25938764 \h </w:instrText>
            </w:r>
            <w:r w:rsidR="006E7203" w:rsidRPr="00076FB4">
              <w:rPr>
                <w:noProof/>
                <w:webHidden/>
                <w:sz w:val="28"/>
                <w:szCs w:val="28"/>
              </w:rPr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3AA">
              <w:rPr>
                <w:noProof/>
                <w:webHidden/>
                <w:sz w:val="28"/>
                <w:szCs w:val="28"/>
              </w:rPr>
              <w:t>5</w:t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EB0527" w14:textId="35A7DDE5" w:rsidR="006E7203" w:rsidRPr="00076FB4" w:rsidRDefault="00641C68" w:rsidP="00076FB4">
          <w:pPr>
            <w:pStyle w:val="Sommario3"/>
            <w:tabs>
              <w:tab w:val="right" w:leader="dot" w:pos="9628"/>
            </w:tabs>
            <w:spacing w:after="240"/>
            <w:rPr>
              <w:rFonts w:eastAsiaTheme="minorEastAsia"/>
              <w:noProof/>
              <w:sz w:val="28"/>
              <w:szCs w:val="28"/>
              <w:lang w:eastAsia="it-IT"/>
            </w:rPr>
          </w:pPr>
          <w:hyperlink w:anchor="_Toc25938765" w:history="1">
            <w:r w:rsidR="006E7203" w:rsidRPr="00076FB4">
              <w:rPr>
                <w:rStyle w:val="Collegamentoipertestuale"/>
                <w:noProof/>
                <w:sz w:val="28"/>
                <w:szCs w:val="28"/>
                <w:lang w:val="en-US"/>
              </w:rPr>
              <w:t>2.1.8 Solar energy supply, transformation and consumption</w:t>
            </w:r>
            <w:r w:rsidR="006E7203" w:rsidRPr="00076FB4">
              <w:rPr>
                <w:noProof/>
                <w:webHidden/>
                <w:sz w:val="28"/>
                <w:szCs w:val="28"/>
              </w:rPr>
              <w:tab/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begin"/>
            </w:r>
            <w:r w:rsidR="006E7203" w:rsidRPr="00076FB4">
              <w:rPr>
                <w:noProof/>
                <w:webHidden/>
                <w:sz w:val="28"/>
                <w:szCs w:val="28"/>
              </w:rPr>
              <w:instrText xml:space="preserve"> PAGEREF _Toc25938765 \h </w:instrText>
            </w:r>
            <w:r w:rsidR="006E7203" w:rsidRPr="00076FB4">
              <w:rPr>
                <w:noProof/>
                <w:webHidden/>
                <w:sz w:val="28"/>
                <w:szCs w:val="28"/>
              </w:rPr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3AA">
              <w:rPr>
                <w:noProof/>
                <w:webHidden/>
                <w:sz w:val="28"/>
                <w:szCs w:val="28"/>
              </w:rPr>
              <w:t>5</w:t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319298" w14:textId="6A606CEB" w:rsidR="006E7203" w:rsidRPr="00076FB4" w:rsidRDefault="00641C68" w:rsidP="00076FB4">
          <w:pPr>
            <w:pStyle w:val="Sommario3"/>
            <w:tabs>
              <w:tab w:val="right" w:leader="dot" w:pos="9628"/>
            </w:tabs>
            <w:spacing w:after="240"/>
            <w:rPr>
              <w:rFonts w:eastAsiaTheme="minorEastAsia"/>
              <w:noProof/>
              <w:sz w:val="28"/>
              <w:szCs w:val="28"/>
              <w:lang w:eastAsia="it-IT"/>
            </w:rPr>
          </w:pPr>
          <w:hyperlink w:anchor="_Toc25938766" w:history="1">
            <w:r w:rsidR="006E7203" w:rsidRPr="00076FB4">
              <w:rPr>
                <w:rStyle w:val="Collegamentoipertestuale"/>
                <w:noProof/>
                <w:sz w:val="28"/>
                <w:szCs w:val="28"/>
              </w:rPr>
              <w:t>2.1.9 Forestry areas</w:t>
            </w:r>
            <w:r w:rsidR="006E7203" w:rsidRPr="00076FB4">
              <w:rPr>
                <w:noProof/>
                <w:webHidden/>
                <w:sz w:val="28"/>
                <w:szCs w:val="28"/>
              </w:rPr>
              <w:tab/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begin"/>
            </w:r>
            <w:r w:rsidR="006E7203" w:rsidRPr="00076FB4">
              <w:rPr>
                <w:noProof/>
                <w:webHidden/>
                <w:sz w:val="28"/>
                <w:szCs w:val="28"/>
              </w:rPr>
              <w:instrText xml:space="preserve"> PAGEREF _Toc25938766 \h </w:instrText>
            </w:r>
            <w:r w:rsidR="006E7203" w:rsidRPr="00076FB4">
              <w:rPr>
                <w:noProof/>
                <w:webHidden/>
                <w:sz w:val="28"/>
                <w:szCs w:val="28"/>
              </w:rPr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3AA">
              <w:rPr>
                <w:noProof/>
                <w:webHidden/>
                <w:sz w:val="28"/>
                <w:szCs w:val="28"/>
              </w:rPr>
              <w:t>5</w:t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19A7F" w14:textId="6881B6C7" w:rsidR="006E7203" w:rsidRPr="00076FB4" w:rsidRDefault="00641C68" w:rsidP="00076FB4">
          <w:pPr>
            <w:pStyle w:val="Sommario3"/>
            <w:tabs>
              <w:tab w:val="right" w:leader="dot" w:pos="9628"/>
            </w:tabs>
            <w:spacing w:after="240"/>
            <w:rPr>
              <w:rFonts w:eastAsiaTheme="minorEastAsia"/>
              <w:noProof/>
              <w:sz w:val="28"/>
              <w:szCs w:val="28"/>
              <w:lang w:eastAsia="it-IT"/>
            </w:rPr>
          </w:pPr>
          <w:hyperlink w:anchor="_Toc25938767" w:history="1">
            <w:r w:rsidR="006E7203" w:rsidRPr="00076FB4">
              <w:rPr>
                <w:rStyle w:val="Collegamentoipertestuale"/>
                <w:noProof/>
                <w:sz w:val="28"/>
                <w:szCs w:val="28"/>
              </w:rPr>
              <w:t>2.1.10 Tree occurrences</w:t>
            </w:r>
            <w:r w:rsidR="006E7203" w:rsidRPr="00076FB4">
              <w:rPr>
                <w:noProof/>
                <w:webHidden/>
                <w:sz w:val="28"/>
                <w:szCs w:val="28"/>
              </w:rPr>
              <w:tab/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begin"/>
            </w:r>
            <w:r w:rsidR="006E7203" w:rsidRPr="00076FB4">
              <w:rPr>
                <w:noProof/>
                <w:webHidden/>
                <w:sz w:val="28"/>
                <w:szCs w:val="28"/>
              </w:rPr>
              <w:instrText xml:space="preserve"> PAGEREF _Toc25938767 \h </w:instrText>
            </w:r>
            <w:r w:rsidR="006E7203" w:rsidRPr="00076FB4">
              <w:rPr>
                <w:noProof/>
                <w:webHidden/>
                <w:sz w:val="28"/>
                <w:szCs w:val="28"/>
              </w:rPr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3AA">
              <w:rPr>
                <w:noProof/>
                <w:webHidden/>
                <w:sz w:val="28"/>
                <w:szCs w:val="28"/>
              </w:rPr>
              <w:t>6</w:t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0ECB4" w14:textId="6CC5CFB3" w:rsidR="006E7203" w:rsidRPr="00076FB4" w:rsidRDefault="00641C68" w:rsidP="00076FB4">
          <w:pPr>
            <w:pStyle w:val="Sommario3"/>
            <w:tabs>
              <w:tab w:val="right" w:leader="dot" w:pos="9628"/>
            </w:tabs>
            <w:spacing w:after="240"/>
            <w:rPr>
              <w:rFonts w:eastAsiaTheme="minorEastAsia"/>
              <w:noProof/>
              <w:sz w:val="28"/>
              <w:szCs w:val="28"/>
              <w:lang w:eastAsia="it-IT"/>
            </w:rPr>
          </w:pPr>
          <w:hyperlink w:anchor="_Toc25938768" w:history="1">
            <w:r w:rsidR="006E7203" w:rsidRPr="00076FB4">
              <w:rPr>
                <w:rStyle w:val="Collegamentoipertestuale"/>
                <w:noProof/>
                <w:sz w:val="28"/>
                <w:szCs w:val="28"/>
              </w:rPr>
              <w:t>2.1.11 Grennhouse gas emissions</w:t>
            </w:r>
            <w:r w:rsidR="006E7203" w:rsidRPr="00076FB4">
              <w:rPr>
                <w:noProof/>
                <w:webHidden/>
                <w:sz w:val="28"/>
                <w:szCs w:val="28"/>
              </w:rPr>
              <w:tab/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begin"/>
            </w:r>
            <w:r w:rsidR="006E7203" w:rsidRPr="00076FB4">
              <w:rPr>
                <w:noProof/>
                <w:webHidden/>
                <w:sz w:val="28"/>
                <w:szCs w:val="28"/>
              </w:rPr>
              <w:instrText xml:space="preserve"> PAGEREF _Toc25938768 \h </w:instrText>
            </w:r>
            <w:r w:rsidR="006E7203" w:rsidRPr="00076FB4">
              <w:rPr>
                <w:noProof/>
                <w:webHidden/>
                <w:sz w:val="28"/>
                <w:szCs w:val="28"/>
              </w:rPr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3AA">
              <w:rPr>
                <w:noProof/>
                <w:webHidden/>
                <w:sz w:val="28"/>
                <w:szCs w:val="28"/>
              </w:rPr>
              <w:t>6</w:t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584E4" w14:textId="40EB5AAC" w:rsidR="006E7203" w:rsidRPr="00076FB4" w:rsidRDefault="00641C68" w:rsidP="00076FB4">
          <w:pPr>
            <w:pStyle w:val="Sommario2"/>
            <w:tabs>
              <w:tab w:val="right" w:leader="dot" w:pos="9628"/>
            </w:tabs>
            <w:spacing w:after="240"/>
            <w:rPr>
              <w:rFonts w:eastAsiaTheme="minorEastAsia"/>
              <w:noProof/>
              <w:sz w:val="28"/>
              <w:szCs w:val="28"/>
              <w:lang w:eastAsia="it-IT"/>
            </w:rPr>
          </w:pPr>
          <w:hyperlink w:anchor="_Toc25938769" w:history="1">
            <w:r w:rsidR="006E7203" w:rsidRPr="00076FB4">
              <w:rPr>
                <w:rStyle w:val="Collegamentoipertestuale"/>
                <w:noProof/>
                <w:sz w:val="28"/>
                <w:szCs w:val="28"/>
              </w:rPr>
              <w:t>2.2 Tabella ottenuta</w:t>
            </w:r>
            <w:r w:rsidR="006E7203" w:rsidRPr="00076FB4">
              <w:rPr>
                <w:noProof/>
                <w:webHidden/>
                <w:sz w:val="28"/>
                <w:szCs w:val="28"/>
              </w:rPr>
              <w:tab/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begin"/>
            </w:r>
            <w:r w:rsidR="006E7203" w:rsidRPr="00076FB4">
              <w:rPr>
                <w:noProof/>
                <w:webHidden/>
                <w:sz w:val="28"/>
                <w:szCs w:val="28"/>
              </w:rPr>
              <w:instrText xml:space="preserve"> PAGEREF _Toc25938769 \h </w:instrText>
            </w:r>
            <w:r w:rsidR="006E7203" w:rsidRPr="00076FB4">
              <w:rPr>
                <w:noProof/>
                <w:webHidden/>
                <w:sz w:val="28"/>
                <w:szCs w:val="28"/>
              </w:rPr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3AA">
              <w:rPr>
                <w:noProof/>
                <w:webHidden/>
                <w:sz w:val="28"/>
                <w:szCs w:val="28"/>
              </w:rPr>
              <w:t>6</w:t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7EDF4" w14:textId="116B2ADE" w:rsidR="006E7203" w:rsidRPr="00076FB4" w:rsidRDefault="00641C68" w:rsidP="00076FB4">
          <w:pPr>
            <w:pStyle w:val="Sommario2"/>
            <w:tabs>
              <w:tab w:val="right" w:leader="dot" w:pos="9628"/>
            </w:tabs>
            <w:spacing w:after="240"/>
            <w:rPr>
              <w:rFonts w:eastAsiaTheme="minorEastAsia"/>
              <w:noProof/>
              <w:sz w:val="28"/>
              <w:szCs w:val="28"/>
              <w:lang w:eastAsia="it-IT"/>
            </w:rPr>
          </w:pPr>
          <w:hyperlink w:anchor="_Toc25938770" w:history="1">
            <w:r w:rsidR="006E7203" w:rsidRPr="00076FB4">
              <w:rPr>
                <w:rStyle w:val="Collegamentoipertestuale"/>
                <w:noProof/>
                <w:sz w:val="28"/>
                <w:szCs w:val="28"/>
              </w:rPr>
              <w:t>2.2 Elaborazione della tabella</w:t>
            </w:r>
            <w:r w:rsidR="006E7203" w:rsidRPr="00076FB4">
              <w:rPr>
                <w:noProof/>
                <w:webHidden/>
                <w:sz w:val="28"/>
                <w:szCs w:val="28"/>
              </w:rPr>
              <w:tab/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begin"/>
            </w:r>
            <w:r w:rsidR="006E7203" w:rsidRPr="00076FB4">
              <w:rPr>
                <w:noProof/>
                <w:webHidden/>
                <w:sz w:val="28"/>
                <w:szCs w:val="28"/>
              </w:rPr>
              <w:instrText xml:space="preserve"> PAGEREF _Toc25938770 \h </w:instrText>
            </w:r>
            <w:r w:rsidR="006E7203" w:rsidRPr="00076FB4">
              <w:rPr>
                <w:noProof/>
                <w:webHidden/>
                <w:sz w:val="28"/>
                <w:szCs w:val="28"/>
              </w:rPr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3AA">
              <w:rPr>
                <w:noProof/>
                <w:webHidden/>
                <w:sz w:val="28"/>
                <w:szCs w:val="28"/>
              </w:rPr>
              <w:t>7</w:t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07C49" w14:textId="6D677E8E" w:rsidR="006E7203" w:rsidRPr="00076FB4" w:rsidRDefault="00641C68" w:rsidP="00076FB4">
          <w:pPr>
            <w:pStyle w:val="Sommario2"/>
            <w:tabs>
              <w:tab w:val="right" w:leader="dot" w:pos="9628"/>
            </w:tabs>
            <w:spacing w:after="240"/>
            <w:rPr>
              <w:rFonts w:eastAsiaTheme="minorEastAsia"/>
              <w:noProof/>
              <w:sz w:val="28"/>
              <w:szCs w:val="28"/>
              <w:lang w:eastAsia="it-IT"/>
            </w:rPr>
          </w:pPr>
          <w:hyperlink w:anchor="_Toc25938771" w:history="1">
            <w:r w:rsidR="006E7203" w:rsidRPr="00076FB4">
              <w:rPr>
                <w:rStyle w:val="Collegamentoipertestuale"/>
                <w:noProof/>
                <w:sz w:val="28"/>
                <w:szCs w:val="28"/>
              </w:rPr>
              <w:t>2.3 Visualizzazione dei dati</w:t>
            </w:r>
            <w:r w:rsidR="006E7203" w:rsidRPr="00076FB4">
              <w:rPr>
                <w:noProof/>
                <w:webHidden/>
                <w:sz w:val="28"/>
                <w:szCs w:val="28"/>
              </w:rPr>
              <w:tab/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begin"/>
            </w:r>
            <w:r w:rsidR="006E7203" w:rsidRPr="00076FB4">
              <w:rPr>
                <w:noProof/>
                <w:webHidden/>
                <w:sz w:val="28"/>
                <w:szCs w:val="28"/>
              </w:rPr>
              <w:instrText xml:space="preserve"> PAGEREF _Toc25938771 \h </w:instrText>
            </w:r>
            <w:r w:rsidR="006E7203" w:rsidRPr="00076FB4">
              <w:rPr>
                <w:noProof/>
                <w:webHidden/>
                <w:sz w:val="28"/>
                <w:szCs w:val="28"/>
              </w:rPr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3AA">
              <w:rPr>
                <w:noProof/>
                <w:webHidden/>
                <w:sz w:val="28"/>
                <w:szCs w:val="28"/>
              </w:rPr>
              <w:t>8</w:t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CE3C6" w14:textId="5B82665F" w:rsidR="006E7203" w:rsidRPr="00076FB4" w:rsidRDefault="00641C68" w:rsidP="00076FB4">
          <w:pPr>
            <w:pStyle w:val="Sommario1"/>
            <w:tabs>
              <w:tab w:val="right" w:leader="dot" w:pos="9628"/>
            </w:tabs>
            <w:spacing w:after="240"/>
            <w:rPr>
              <w:rFonts w:eastAsiaTheme="minorEastAsia"/>
              <w:noProof/>
              <w:sz w:val="28"/>
              <w:szCs w:val="28"/>
              <w:lang w:eastAsia="it-IT"/>
            </w:rPr>
          </w:pPr>
          <w:hyperlink w:anchor="_Toc25938772" w:history="1">
            <w:r w:rsidR="006E7203" w:rsidRPr="00076FB4">
              <w:rPr>
                <w:rStyle w:val="Collegamentoipertestuale"/>
                <w:noProof/>
                <w:sz w:val="28"/>
                <w:szCs w:val="28"/>
              </w:rPr>
              <w:t>3. Analisi delle componenti principali</w:t>
            </w:r>
            <w:r w:rsidR="006E7203" w:rsidRPr="00076FB4">
              <w:rPr>
                <w:noProof/>
                <w:webHidden/>
                <w:sz w:val="28"/>
                <w:szCs w:val="28"/>
              </w:rPr>
              <w:tab/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begin"/>
            </w:r>
            <w:r w:rsidR="006E7203" w:rsidRPr="00076FB4">
              <w:rPr>
                <w:noProof/>
                <w:webHidden/>
                <w:sz w:val="28"/>
                <w:szCs w:val="28"/>
              </w:rPr>
              <w:instrText xml:space="preserve"> PAGEREF _Toc25938772 \h </w:instrText>
            </w:r>
            <w:r w:rsidR="006E7203" w:rsidRPr="00076FB4">
              <w:rPr>
                <w:noProof/>
                <w:webHidden/>
                <w:sz w:val="28"/>
                <w:szCs w:val="28"/>
              </w:rPr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3AA">
              <w:rPr>
                <w:noProof/>
                <w:webHidden/>
                <w:sz w:val="28"/>
                <w:szCs w:val="28"/>
              </w:rPr>
              <w:t>9</w:t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AE1F2" w14:textId="359CD790" w:rsidR="006E7203" w:rsidRPr="00076FB4" w:rsidRDefault="00641C68" w:rsidP="00076FB4">
          <w:pPr>
            <w:pStyle w:val="Sommario1"/>
            <w:tabs>
              <w:tab w:val="right" w:leader="dot" w:pos="9628"/>
            </w:tabs>
            <w:spacing w:after="240"/>
            <w:rPr>
              <w:rFonts w:eastAsiaTheme="minorEastAsia"/>
              <w:noProof/>
              <w:sz w:val="28"/>
              <w:szCs w:val="28"/>
              <w:lang w:eastAsia="it-IT"/>
            </w:rPr>
          </w:pPr>
          <w:hyperlink w:anchor="_Toc25938774" w:history="1">
            <w:r w:rsidR="006E7203" w:rsidRPr="00076FB4">
              <w:rPr>
                <w:rStyle w:val="Collegamentoipertestuale"/>
                <w:noProof/>
                <w:sz w:val="28"/>
                <w:szCs w:val="28"/>
              </w:rPr>
              <w:t>4. Conclusioni</w:t>
            </w:r>
            <w:r w:rsidR="006E7203" w:rsidRPr="00076FB4">
              <w:rPr>
                <w:noProof/>
                <w:webHidden/>
                <w:sz w:val="28"/>
                <w:szCs w:val="28"/>
              </w:rPr>
              <w:tab/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begin"/>
            </w:r>
            <w:r w:rsidR="006E7203" w:rsidRPr="00076FB4">
              <w:rPr>
                <w:noProof/>
                <w:webHidden/>
                <w:sz w:val="28"/>
                <w:szCs w:val="28"/>
              </w:rPr>
              <w:instrText xml:space="preserve"> PAGEREF _Toc25938774 \h </w:instrText>
            </w:r>
            <w:r w:rsidR="006E7203" w:rsidRPr="00076FB4">
              <w:rPr>
                <w:noProof/>
                <w:webHidden/>
                <w:sz w:val="28"/>
                <w:szCs w:val="28"/>
              </w:rPr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3AA">
              <w:rPr>
                <w:noProof/>
                <w:webHidden/>
                <w:sz w:val="28"/>
                <w:szCs w:val="28"/>
              </w:rPr>
              <w:t>13</w:t>
            </w:r>
            <w:r w:rsidR="006E7203" w:rsidRPr="00076FB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AD189" w14:textId="77777777" w:rsidR="006E7203" w:rsidRDefault="006E7203">
          <w:r>
            <w:rPr>
              <w:b/>
              <w:bCs/>
            </w:rPr>
            <w:fldChar w:fldCharType="end"/>
          </w:r>
        </w:p>
      </w:sdtContent>
    </w:sdt>
    <w:p w14:paraId="02555FB2" w14:textId="77777777" w:rsidR="006E7203" w:rsidRPr="006E7203" w:rsidRDefault="006E7203" w:rsidP="006E7203"/>
    <w:p w14:paraId="2044EADC" w14:textId="77777777" w:rsidR="006E7203" w:rsidRDefault="006E7203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0EF2C06F" w14:textId="77777777" w:rsidR="00302224" w:rsidRDefault="002540E8" w:rsidP="003D4C36">
      <w:pPr>
        <w:pStyle w:val="Titolo1"/>
        <w:rPr>
          <w:sz w:val="40"/>
          <w:szCs w:val="40"/>
        </w:rPr>
      </w:pPr>
      <w:bookmarkStart w:id="1" w:name="_Toc25938755"/>
      <w:r>
        <w:rPr>
          <w:sz w:val="40"/>
          <w:szCs w:val="40"/>
        </w:rPr>
        <w:lastRenderedPageBreak/>
        <w:t xml:space="preserve">1. </w:t>
      </w:r>
      <w:r w:rsidR="003D4C36" w:rsidRPr="003D4C36">
        <w:rPr>
          <w:sz w:val="40"/>
          <w:szCs w:val="40"/>
        </w:rPr>
        <w:t xml:space="preserve">Introduzione </w:t>
      </w:r>
      <w:r w:rsidR="00CB0260">
        <w:rPr>
          <w:sz w:val="40"/>
          <w:szCs w:val="40"/>
        </w:rPr>
        <w:t>e scopo</w:t>
      </w:r>
      <w:bookmarkEnd w:id="1"/>
    </w:p>
    <w:p w14:paraId="11CD29E2" w14:textId="77777777" w:rsidR="00E84DBB" w:rsidRPr="009250AC" w:rsidRDefault="003D4C36" w:rsidP="003D4C36">
      <w:r w:rsidRPr="009250AC">
        <w:t>Lo scopo principale dell’analisi che segue è di provare ad individuare quelli che sono i principali driver del cambiamento climatico</w:t>
      </w:r>
      <w:r w:rsidR="00E84DBB" w:rsidRPr="009250AC">
        <w:t>.</w:t>
      </w:r>
      <w:r w:rsidRPr="009250AC">
        <w:t xml:space="preserve"> </w:t>
      </w:r>
      <w:r w:rsidR="00E84DBB" w:rsidRPr="009250AC">
        <w:t>P</w:t>
      </w:r>
      <w:r w:rsidRPr="009250AC">
        <w:t>iù precisamente, si intende capire quali sono quei fattori che contribuiscono in maggior misura</w:t>
      </w:r>
      <w:r w:rsidR="00E84DBB" w:rsidRPr="009250AC">
        <w:t xml:space="preserve"> al cambiamento climatico antropogenico, o in altre parole, il mutamento climatico imputabile all’uomo,</w:t>
      </w:r>
      <w:r w:rsidRPr="009250AC">
        <w:t xml:space="preserve"> </w:t>
      </w:r>
      <w:r w:rsidR="00E84DBB" w:rsidRPr="009250AC">
        <w:t>in termini di</w:t>
      </w:r>
      <w:r w:rsidRPr="009250AC">
        <w:t xml:space="preserve"> </w:t>
      </w:r>
      <w:r w:rsidR="00E84DBB" w:rsidRPr="009250AC">
        <w:t xml:space="preserve">quantità </w:t>
      </w:r>
      <w:r w:rsidRPr="009250AC">
        <w:t xml:space="preserve">emissioni di gas serra </w:t>
      </w:r>
      <w:r w:rsidR="00E84DBB" w:rsidRPr="009250AC">
        <w:t>relativamente a</w:t>
      </w:r>
      <w:r w:rsidRPr="009250AC">
        <w:t xml:space="preserve"> ciascuno degli stati facenti parte dell’Unione Europea. </w:t>
      </w:r>
    </w:p>
    <w:p w14:paraId="06CC887D" w14:textId="77777777" w:rsidR="003D4C36" w:rsidRPr="009250AC" w:rsidRDefault="00E84DBB" w:rsidP="003D4C36">
      <w:r w:rsidRPr="009250AC">
        <w:t xml:space="preserve">Quali sono gli stati per cui si registra una maggiore emissione di gas serra? Quali sono le forze in gioco che hanno un ruolo più significativo nel contribuire alle emissioni? </w:t>
      </w:r>
      <w:r w:rsidR="00BB4920" w:rsidRPr="009250AC">
        <w:t xml:space="preserve">Ci sono contromisure efficaci per ridurre le emissioni? </w:t>
      </w:r>
    </w:p>
    <w:p w14:paraId="6F9CDE87" w14:textId="77777777" w:rsidR="00BB4920" w:rsidRPr="009250AC" w:rsidRDefault="00BB4920" w:rsidP="003D4C36">
      <w:r w:rsidRPr="009250AC">
        <w:t xml:space="preserve">L’idea consiste nel mettere insieme dati </w:t>
      </w:r>
      <w:r w:rsidR="00CB0260" w:rsidRPr="009250AC">
        <w:t xml:space="preserve">statisticamente rilevanti </w:t>
      </w:r>
      <w:r w:rsidRPr="009250AC">
        <w:t>per il raggiungimento del nostro fine</w:t>
      </w:r>
      <w:r w:rsidR="00CB0260" w:rsidRPr="009250AC">
        <w:t>, reperendoli</w:t>
      </w:r>
      <w:r w:rsidRPr="009250AC">
        <w:t xml:space="preserve"> da fonti opportune </w:t>
      </w:r>
      <w:r w:rsidR="00885AA5" w:rsidRPr="009250AC">
        <w:t xml:space="preserve">per poi </w:t>
      </w:r>
      <w:r w:rsidRPr="009250AC">
        <w:t xml:space="preserve">analizzarli </w:t>
      </w:r>
      <w:r w:rsidR="00885AA5" w:rsidRPr="009250AC">
        <w:t>al fine</w:t>
      </w:r>
      <w:r w:rsidRPr="009250AC">
        <w:t xml:space="preserve"> </w:t>
      </w:r>
      <w:r w:rsidR="00504DA2" w:rsidRPr="009250AC">
        <w:t>estrarne</w:t>
      </w:r>
      <w:r w:rsidR="00CB0260" w:rsidRPr="009250AC">
        <w:t xml:space="preserve"> informazioni interessanti. </w:t>
      </w:r>
      <w:r w:rsidR="00456E9A" w:rsidRPr="009250AC">
        <w:t>Con i dati reperiti si costruirà un dataset che verrà importato all’interno del software statistico R</w:t>
      </w:r>
      <w:r w:rsidR="00225C47" w:rsidRPr="009250AC">
        <w:t>: dopo aver compiuto le elaborazioni n</w:t>
      </w:r>
      <w:r w:rsidR="004317D6" w:rsidRPr="009250AC">
        <w:t>ecessarie</w:t>
      </w:r>
      <w:r w:rsidR="00225C47" w:rsidRPr="009250AC">
        <w:t xml:space="preserve">, si condurrà l’analisi delle componenti principali. </w:t>
      </w:r>
    </w:p>
    <w:p w14:paraId="7011C6F1" w14:textId="77777777" w:rsidR="002540E8" w:rsidRDefault="002540E8" w:rsidP="003D4C36">
      <w:pPr>
        <w:rPr>
          <w:sz w:val="24"/>
          <w:szCs w:val="24"/>
        </w:rPr>
      </w:pPr>
    </w:p>
    <w:p w14:paraId="750A0CF3" w14:textId="77777777" w:rsidR="00CB0260" w:rsidRDefault="002540E8" w:rsidP="00CB0260">
      <w:pPr>
        <w:pStyle w:val="Titolo1"/>
        <w:rPr>
          <w:sz w:val="40"/>
          <w:szCs w:val="40"/>
        </w:rPr>
      </w:pPr>
      <w:bookmarkStart w:id="2" w:name="_Toc25938756"/>
      <w:r>
        <w:rPr>
          <w:sz w:val="40"/>
          <w:szCs w:val="40"/>
        </w:rPr>
        <w:t xml:space="preserve">2. </w:t>
      </w:r>
      <w:r w:rsidR="00CB0260" w:rsidRPr="00CB0260">
        <w:rPr>
          <w:sz w:val="40"/>
          <w:szCs w:val="40"/>
        </w:rPr>
        <w:t>Reperimento dei dati e costruzione del dataset</w:t>
      </w:r>
      <w:bookmarkEnd w:id="2"/>
    </w:p>
    <w:p w14:paraId="1D9FBACB" w14:textId="77777777" w:rsidR="00057F0C" w:rsidRPr="009250AC" w:rsidRDefault="006C41B0" w:rsidP="00CB0260">
      <w:r w:rsidRPr="009250AC">
        <w:t xml:space="preserve">Si è cercato di costruire un dataset </w:t>
      </w:r>
      <w:r w:rsidR="002A14A9" w:rsidRPr="009250AC">
        <w:t>selezionando</w:t>
      </w:r>
      <w:r w:rsidRPr="009250AC">
        <w:t xml:space="preserve"> alcuni tra i fattori significativi per ciascuno dei settori ritenuti responsabili per l’aumento o per la riduzione delle emissioni di gas serra.</w:t>
      </w:r>
      <w:r w:rsidR="00D80E40" w:rsidRPr="009250AC">
        <w:t xml:space="preserve"> </w:t>
      </w:r>
    </w:p>
    <w:p w14:paraId="13CDC29C" w14:textId="77777777" w:rsidR="00117869" w:rsidRPr="006C41B0" w:rsidRDefault="00117869" w:rsidP="00CB0260">
      <w:pPr>
        <w:rPr>
          <w:sz w:val="24"/>
          <w:szCs w:val="24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2B6BA7" w14:paraId="26C9E8C2" w14:textId="77777777" w:rsidTr="002B6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7AF8B60" w14:textId="77777777" w:rsidR="002B6BA7" w:rsidRPr="00117869" w:rsidRDefault="002B6BA7" w:rsidP="002B6BA7">
            <w:r w:rsidRPr="00117869">
              <w:t>Intervallo temporale</w:t>
            </w:r>
          </w:p>
        </w:tc>
        <w:tc>
          <w:tcPr>
            <w:tcW w:w="6939" w:type="dxa"/>
          </w:tcPr>
          <w:p w14:paraId="0482BE44" w14:textId="77777777" w:rsidR="002B6BA7" w:rsidRPr="00117869" w:rsidRDefault="002B6BA7" w:rsidP="00CB02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17869">
              <w:rPr>
                <w:b w:val="0"/>
                <w:bCs w:val="0"/>
              </w:rPr>
              <w:t xml:space="preserve">Tutti i dati </w:t>
            </w:r>
            <w:r w:rsidR="00897A54">
              <w:rPr>
                <w:b w:val="0"/>
                <w:bCs w:val="0"/>
              </w:rPr>
              <w:t xml:space="preserve">scelti </w:t>
            </w:r>
            <w:r w:rsidRPr="00117869">
              <w:rPr>
                <w:b w:val="0"/>
                <w:bCs w:val="0"/>
              </w:rPr>
              <w:t>sono relativi all’intervallo temporale cha va dall’inizio alla fine dell’anno 2017.</w:t>
            </w:r>
          </w:p>
        </w:tc>
      </w:tr>
      <w:tr w:rsidR="002B6BA7" w14:paraId="3735043E" w14:textId="77777777" w:rsidTr="002B6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F31AD7" w14:textId="77777777" w:rsidR="002B6BA7" w:rsidRPr="00117869" w:rsidRDefault="002B6BA7" w:rsidP="00CB0260">
            <w:r w:rsidRPr="00117869">
              <w:t>Individui</w:t>
            </w:r>
          </w:p>
        </w:tc>
        <w:tc>
          <w:tcPr>
            <w:tcW w:w="6939" w:type="dxa"/>
          </w:tcPr>
          <w:p w14:paraId="4B598511" w14:textId="77777777" w:rsidR="002B6BA7" w:rsidRPr="00117869" w:rsidRDefault="002B6BA7" w:rsidP="002B6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869">
              <w:t>Ciascuna osservazione della tabella corrisponde ad uno dei 28 paesi facenti parte dell’UE.</w:t>
            </w:r>
          </w:p>
          <w:p w14:paraId="4452CAA5" w14:textId="77777777" w:rsidR="002B6BA7" w:rsidRPr="00117869" w:rsidRDefault="002B6BA7" w:rsidP="00CB0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7F0925F" w14:textId="77777777" w:rsidR="0045111E" w:rsidRDefault="0045111E" w:rsidP="00CB0260">
      <w:pPr>
        <w:rPr>
          <w:sz w:val="24"/>
          <w:szCs w:val="24"/>
        </w:rPr>
      </w:pPr>
    </w:p>
    <w:p w14:paraId="332C03CE" w14:textId="77777777" w:rsidR="00D80E40" w:rsidRDefault="00205E6E" w:rsidP="00D80E40">
      <w:pPr>
        <w:pStyle w:val="Titolo2"/>
        <w:rPr>
          <w:sz w:val="32"/>
          <w:szCs w:val="32"/>
        </w:rPr>
      </w:pPr>
      <w:bookmarkStart w:id="3" w:name="_Toc25938757"/>
      <w:r>
        <w:rPr>
          <w:sz w:val="32"/>
          <w:szCs w:val="32"/>
        </w:rPr>
        <w:t>2.</w:t>
      </w:r>
      <w:r w:rsidR="002540E8">
        <w:rPr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 w:rsidR="00057F0C" w:rsidRPr="00057F0C">
        <w:rPr>
          <w:sz w:val="32"/>
          <w:szCs w:val="32"/>
        </w:rPr>
        <w:t>Fattori scelti</w:t>
      </w:r>
      <w:bookmarkEnd w:id="3"/>
    </w:p>
    <w:p w14:paraId="3A9ABFA4" w14:textId="77777777" w:rsidR="00117869" w:rsidRPr="00117869" w:rsidRDefault="00117869" w:rsidP="00117869">
      <w:r w:rsidRPr="00117869">
        <w:t>Dopo un’analisi esplorativa dei d</w:t>
      </w:r>
      <w:r>
        <w:t xml:space="preserve">ati sono stati selezionati gli undici fattori di cui sotto. </w:t>
      </w:r>
      <w:r w:rsidR="001E24EF">
        <w:t>La maggior parte di questi fattori è stata estratta dall</w:t>
      </w:r>
      <w:r w:rsidR="00D74BA7">
        <w:t xml:space="preserve">e tabelle situate nelle sezioni “Drivers” e “Mitigation” presenti sulla pagina relativa ai cambiamenti climatici del sito Eurostat. </w:t>
      </w:r>
    </w:p>
    <w:p w14:paraId="5DB6CD32" w14:textId="77777777" w:rsidR="00205E6E" w:rsidRPr="001E24EF" w:rsidRDefault="00205E6E" w:rsidP="00205E6E">
      <w:pPr>
        <w:pStyle w:val="Titolo3"/>
      </w:pPr>
      <w:bookmarkStart w:id="4" w:name="_Toc25938758"/>
      <w:r w:rsidRPr="001E24EF">
        <w:t>2.1</w:t>
      </w:r>
      <w:r w:rsidR="002540E8" w:rsidRPr="001E24EF">
        <w:t>.1</w:t>
      </w:r>
      <w:r w:rsidRPr="001E24EF">
        <w:t xml:space="preserve"> Primary Energy Consumption</w:t>
      </w:r>
      <w:bookmarkEnd w:id="4"/>
    </w:p>
    <w:p w14:paraId="48EAD01B" w14:textId="77777777" w:rsidR="00205E6E" w:rsidRPr="00205E6E" w:rsidRDefault="00205E6E" w:rsidP="00205E6E">
      <w:r w:rsidRPr="00205E6E">
        <w:t>L’indicatore misura la quantità totale di energia utilizzata in un paese. Questa misura coinvolge il consumo di energia relativo a tutti i settori quali industria, trasporti, famiglie, agricoltura, più i consumi di energia relativi al settore energetico stesso (produzione e trasformazione dell’energia, perdite durante la trasformazione etc.).</w:t>
      </w:r>
    </w:p>
    <w:tbl>
      <w:tblPr>
        <w:tblStyle w:val="Tabellasemplice-1"/>
        <w:tblW w:w="0" w:type="auto"/>
        <w:tblInd w:w="-5" w:type="dxa"/>
        <w:tblLook w:val="04A0" w:firstRow="1" w:lastRow="0" w:firstColumn="1" w:lastColumn="0" w:noHBand="0" w:noVBand="1"/>
      </w:tblPr>
      <w:tblGrid>
        <w:gridCol w:w="1846"/>
        <w:gridCol w:w="7782"/>
      </w:tblGrid>
      <w:tr w:rsidR="00A81F34" w14:paraId="5E4B5643" w14:textId="77777777" w:rsidTr="00212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733E6696" w14:textId="77777777" w:rsidR="00A81F34" w:rsidRPr="00212273" w:rsidRDefault="00A81F34" w:rsidP="00CB0260">
            <w:r w:rsidRPr="00212273">
              <w:t xml:space="preserve">Settore </w:t>
            </w:r>
          </w:p>
        </w:tc>
        <w:tc>
          <w:tcPr>
            <w:tcW w:w="7782" w:type="dxa"/>
          </w:tcPr>
          <w:p w14:paraId="3BF26CF9" w14:textId="77777777" w:rsidR="00A81F34" w:rsidRPr="00212273" w:rsidRDefault="00A81F34" w:rsidP="00CB02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2273">
              <w:rPr>
                <w:b w:val="0"/>
                <w:bCs w:val="0"/>
              </w:rPr>
              <w:t>Energetico</w:t>
            </w:r>
          </w:p>
        </w:tc>
      </w:tr>
      <w:tr w:rsidR="00A81F34" w14:paraId="346A8FB2" w14:textId="77777777" w:rsidTr="00212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0B391EF6" w14:textId="77777777" w:rsidR="00A81F34" w:rsidRPr="00212273" w:rsidRDefault="00A81F34" w:rsidP="00CB0260">
            <w:r w:rsidRPr="00212273">
              <w:t>Nome Fattore</w:t>
            </w:r>
          </w:p>
        </w:tc>
        <w:tc>
          <w:tcPr>
            <w:tcW w:w="7782" w:type="dxa"/>
          </w:tcPr>
          <w:p w14:paraId="296575F2" w14:textId="77777777" w:rsidR="00A81F34" w:rsidRPr="00212273" w:rsidRDefault="00A81F34" w:rsidP="00CB0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273">
              <w:t>PE_consumption</w:t>
            </w:r>
          </w:p>
        </w:tc>
      </w:tr>
      <w:tr w:rsidR="00A81F34" w14:paraId="7671249C" w14:textId="77777777" w:rsidTr="00212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77175DC7" w14:textId="77777777" w:rsidR="00A81F34" w:rsidRPr="00212273" w:rsidRDefault="00A81F34" w:rsidP="00CB0260">
            <w:r w:rsidRPr="00212273">
              <w:t>Unità di misura</w:t>
            </w:r>
          </w:p>
        </w:tc>
        <w:tc>
          <w:tcPr>
            <w:tcW w:w="7782" w:type="dxa"/>
          </w:tcPr>
          <w:p w14:paraId="56758B62" w14:textId="77777777" w:rsidR="00A81F34" w:rsidRPr="00212273" w:rsidRDefault="00A81F34" w:rsidP="00CB0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273">
              <w:t>TEP: Tonnellate equivalenti di petrolio. Il tep rappresenta la quantità di energia rilasciata dalla combustione di una tonnellata di petrolio grezzo</w:t>
            </w:r>
          </w:p>
        </w:tc>
      </w:tr>
      <w:tr w:rsidR="002E62D9" w14:paraId="0E3939DE" w14:textId="77777777" w:rsidTr="00212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6D967818" w14:textId="77777777" w:rsidR="002E62D9" w:rsidRPr="00212273" w:rsidRDefault="002E62D9" w:rsidP="00CB0260">
            <w:r w:rsidRPr="00212273">
              <w:t>Fonte tabella</w:t>
            </w:r>
          </w:p>
        </w:tc>
        <w:tc>
          <w:tcPr>
            <w:tcW w:w="7782" w:type="dxa"/>
          </w:tcPr>
          <w:p w14:paraId="408A21A3" w14:textId="77777777" w:rsidR="002E62D9" w:rsidRPr="00212273" w:rsidRDefault="002E62D9" w:rsidP="00CB0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273">
              <w:t>Eurostat</w:t>
            </w:r>
          </w:p>
        </w:tc>
      </w:tr>
      <w:tr w:rsidR="00A81F34" w14:paraId="5975E44C" w14:textId="77777777" w:rsidTr="00212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14:paraId="446DB059" w14:textId="77777777" w:rsidR="00A81F34" w:rsidRPr="00212273" w:rsidRDefault="00A81F34" w:rsidP="00CB0260">
            <w:r w:rsidRPr="00212273">
              <w:t xml:space="preserve">Link </w:t>
            </w:r>
          </w:p>
        </w:tc>
        <w:tc>
          <w:tcPr>
            <w:tcW w:w="7782" w:type="dxa"/>
          </w:tcPr>
          <w:p w14:paraId="3F1310BC" w14:textId="77777777" w:rsidR="00A81F34" w:rsidRPr="00212273" w:rsidRDefault="00641C68" w:rsidP="00CB0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A81F34" w:rsidRPr="00212273">
                <w:rPr>
                  <w:rStyle w:val="Collegamentoipertestuale"/>
                </w:rPr>
                <w:t>https://ec.europa.eu/eurostat/databrowser/view/sdg_07_10/default/table?lang=en</w:t>
              </w:r>
            </w:hyperlink>
          </w:p>
        </w:tc>
      </w:tr>
    </w:tbl>
    <w:p w14:paraId="1AC415F2" w14:textId="77777777" w:rsidR="0045111E" w:rsidRPr="0045111E" w:rsidRDefault="0045111E" w:rsidP="0045111E"/>
    <w:p w14:paraId="6F8AB2B0" w14:textId="77777777" w:rsidR="00E93477" w:rsidRDefault="00E93477" w:rsidP="00E93477">
      <w:pPr>
        <w:pStyle w:val="Titolo3"/>
      </w:pPr>
      <w:bookmarkStart w:id="5" w:name="_Toc25938759"/>
      <w:r>
        <w:lastRenderedPageBreak/>
        <w:t>2.</w:t>
      </w:r>
      <w:r w:rsidR="002540E8">
        <w:t>1.</w:t>
      </w:r>
      <w:r>
        <w:t xml:space="preserve">2 Air </w:t>
      </w:r>
      <w:r w:rsidR="006B602F">
        <w:t>p</w:t>
      </w:r>
      <w:r>
        <w:t xml:space="preserve">assengers </w:t>
      </w:r>
      <w:r w:rsidR="006B602F">
        <w:t>t</w:t>
      </w:r>
      <w:r>
        <w:t>ransported</w:t>
      </w:r>
      <w:bookmarkEnd w:id="5"/>
      <w:r>
        <w:t xml:space="preserve"> </w:t>
      </w:r>
    </w:p>
    <w:p w14:paraId="36F5F89C" w14:textId="77777777" w:rsidR="00E93477" w:rsidRPr="00E93477" w:rsidRDefault="00E93477" w:rsidP="00E93477">
      <w:r>
        <w:t xml:space="preserve">Il fattore esprime il numero di passeggeri totale trasportati nell’arco dell’anno </w:t>
      </w:r>
      <w:r w:rsidR="006B602F">
        <w:t>in tutti gli</w:t>
      </w:r>
      <w:r>
        <w:t xml:space="preserve"> aeroporti </w:t>
      </w:r>
      <w:r w:rsidR="006B602F">
        <w:t>riportanti in ogni stato dell’UE.</w:t>
      </w:r>
    </w:p>
    <w:tbl>
      <w:tblPr>
        <w:tblStyle w:val="Tabellasemplice-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790"/>
      </w:tblGrid>
      <w:tr w:rsidR="00E93477" w14:paraId="1718A8C0" w14:textId="77777777" w:rsidTr="00E93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4F3717" w14:textId="77777777" w:rsidR="00E93477" w:rsidRPr="00575DDA" w:rsidRDefault="00E93477" w:rsidP="00392F0D">
            <w:r w:rsidRPr="00575DDA">
              <w:t xml:space="preserve">Settore </w:t>
            </w:r>
          </w:p>
        </w:tc>
        <w:tc>
          <w:tcPr>
            <w:tcW w:w="7790" w:type="dxa"/>
          </w:tcPr>
          <w:p w14:paraId="1B012C99" w14:textId="77777777" w:rsidR="00E93477" w:rsidRPr="00575DDA" w:rsidRDefault="00E93477" w:rsidP="00392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75DDA">
              <w:rPr>
                <w:b w:val="0"/>
                <w:bCs w:val="0"/>
              </w:rPr>
              <w:t>Trasporti</w:t>
            </w:r>
          </w:p>
        </w:tc>
      </w:tr>
      <w:tr w:rsidR="00E93477" w14:paraId="2E39E487" w14:textId="77777777" w:rsidTr="00E9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0E85F3" w14:textId="77777777" w:rsidR="00E93477" w:rsidRPr="00575DDA" w:rsidRDefault="00E93477" w:rsidP="00392F0D">
            <w:r w:rsidRPr="00575DDA">
              <w:t>Nome Fattore</w:t>
            </w:r>
          </w:p>
        </w:tc>
        <w:tc>
          <w:tcPr>
            <w:tcW w:w="7790" w:type="dxa"/>
          </w:tcPr>
          <w:p w14:paraId="50357798" w14:textId="77777777" w:rsidR="00E93477" w:rsidRPr="00575DDA" w:rsidRDefault="00E93477" w:rsidP="00392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DDA">
              <w:t>AP_transported</w:t>
            </w:r>
          </w:p>
        </w:tc>
      </w:tr>
      <w:tr w:rsidR="00E93477" w14:paraId="7A46A6F4" w14:textId="77777777" w:rsidTr="00E93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00CE81" w14:textId="77777777" w:rsidR="00E93477" w:rsidRPr="00575DDA" w:rsidRDefault="00E93477" w:rsidP="00392F0D">
            <w:r w:rsidRPr="00575DDA">
              <w:t>Unità di misura</w:t>
            </w:r>
          </w:p>
        </w:tc>
        <w:tc>
          <w:tcPr>
            <w:tcW w:w="7790" w:type="dxa"/>
          </w:tcPr>
          <w:p w14:paraId="7FFF254B" w14:textId="77777777" w:rsidR="00E93477" w:rsidRPr="00575DDA" w:rsidRDefault="004A0BE9" w:rsidP="00392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DDA">
              <w:t>M</w:t>
            </w:r>
            <w:r w:rsidR="00E93477" w:rsidRPr="00575DDA">
              <w:t xml:space="preserve">igliaia di </w:t>
            </w:r>
            <w:r w:rsidRPr="00575DDA">
              <w:t>unità</w:t>
            </w:r>
          </w:p>
        </w:tc>
      </w:tr>
      <w:tr w:rsidR="00E93477" w14:paraId="431B7155" w14:textId="77777777" w:rsidTr="00E93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7FD076" w14:textId="77777777" w:rsidR="00E93477" w:rsidRPr="00575DDA" w:rsidRDefault="00E93477" w:rsidP="00392F0D">
            <w:r w:rsidRPr="00575DDA">
              <w:t>Fonte tabella</w:t>
            </w:r>
          </w:p>
        </w:tc>
        <w:tc>
          <w:tcPr>
            <w:tcW w:w="7790" w:type="dxa"/>
          </w:tcPr>
          <w:p w14:paraId="596CEF0B" w14:textId="77777777" w:rsidR="00E93477" w:rsidRPr="00575DDA" w:rsidRDefault="00E93477" w:rsidP="00392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DDA">
              <w:t>Eurostat</w:t>
            </w:r>
          </w:p>
        </w:tc>
      </w:tr>
      <w:tr w:rsidR="00E93477" w14:paraId="0B228C4F" w14:textId="77777777" w:rsidTr="00E93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D798C8" w14:textId="77777777" w:rsidR="00E93477" w:rsidRPr="00575DDA" w:rsidRDefault="00E93477" w:rsidP="00392F0D">
            <w:r w:rsidRPr="00575DDA">
              <w:t xml:space="preserve">Link </w:t>
            </w:r>
          </w:p>
        </w:tc>
        <w:tc>
          <w:tcPr>
            <w:tcW w:w="7790" w:type="dxa"/>
          </w:tcPr>
          <w:p w14:paraId="000CEE67" w14:textId="77777777" w:rsidR="00E93477" w:rsidRPr="00575DDA" w:rsidRDefault="00641C68" w:rsidP="00392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anchor="Progressive_growth_in_air_transport_of_passengers_in_the_course_of_2017" w:history="1">
              <w:r w:rsidR="00E93477" w:rsidRPr="00575DDA">
                <w:rPr>
                  <w:rStyle w:val="Collegamentoipertestuale"/>
                </w:rPr>
                <w:t>https://ec.europa.eu/eurostat/statistics-explained/index.php/Air_transport_statistics#Progressive_growth_in_air_transport_of_passengers_in_the_course_of_2017</w:t>
              </w:r>
            </w:hyperlink>
          </w:p>
        </w:tc>
      </w:tr>
    </w:tbl>
    <w:p w14:paraId="476D7097" w14:textId="77777777" w:rsidR="00E93477" w:rsidRDefault="00E93477" w:rsidP="00E93477"/>
    <w:p w14:paraId="4C8539B3" w14:textId="77777777" w:rsidR="006B602F" w:rsidRDefault="006B602F" w:rsidP="006B602F">
      <w:pPr>
        <w:pStyle w:val="Titolo3"/>
      </w:pPr>
      <w:bookmarkStart w:id="6" w:name="_Toc25938760"/>
      <w:r>
        <w:t>2.</w:t>
      </w:r>
      <w:r w:rsidR="002540E8">
        <w:t>1.</w:t>
      </w:r>
      <w:r>
        <w:t>3 Road freight transport</w:t>
      </w:r>
      <w:bookmarkEnd w:id="6"/>
    </w:p>
    <w:p w14:paraId="2E035E6C" w14:textId="77777777" w:rsidR="006B602F" w:rsidRPr="006B602F" w:rsidRDefault="006B602F" w:rsidP="006B602F">
      <w:r>
        <w:t>Il fattore esprime il numero di tonnellate di merci trasportate su strada a livello nazionale nell’arco dell’intero anno in ogni stato dell’UE.</w:t>
      </w:r>
    </w:p>
    <w:tbl>
      <w:tblPr>
        <w:tblStyle w:val="Tabellasemplice-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790"/>
      </w:tblGrid>
      <w:tr w:rsidR="006B602F" w14:paraId="5AF72B9C" w14:textId="77777777" w:rsidTr="00392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4A1945" w14:textId="77777777" w:rsidR="006B602F" w:rsidRPr="00575DDA" w:rsidRDefault="006B602F" w:rsidP="00392F0D">
            <w:r w:rsidRPr="00575DDA">
              <w:t xml:space="preserve">Settore </w:t>
            </w:r>
          </w:p>
        </w:tc>
        <w:tc>
          <w:tcPr>
            <w:tcW w:w="7790" w:type="dxa"/>
          </w:tcPr>
          <w:p w14:paraId="7FB84334" w14:textId="77777777" w:rsidR="006B602F" w:rsidRPr="00575DDA" w:rsidRDefault="006B602F" w:rsidP="00392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75DDA">
              <w:rPr>
                <w:b w:val="0"/>
                <w:bCs w:val="0"/>
              </w:rPr>
              <w:t>Trasporti</w:t>
            </w:r>
          </w:p>
        </w:tc>
      </w:tr>
      <w:tr w:rsidR="006B602F" w14:paraId="68D44399" w14:textId="77777777" w:rsidTr="0039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50D41D" w14:textId="77777777" w:rsidR="006B602F" w:rsidRPr="00575DDA" w:rsidRDefault="006B602F" w:rsidP="00392F0D">
            <w:r w:rsidRPr="00575DDA">
              <w:t>Nome Fattore</w:t>
            </w:r>
          </w:p>
        </w:tc>
        <w:tc>
          <w:tcPr>
            <w:tcW w:w="7790" w:type="dxa"/>
          </w:tcPr>
          <w:p w14:paraId="52E65193" w14:textId="77777777" w:rsidR="006B602F" w:rsidRPr="00575DDA" w:rsidRDefault="006B602F" w:rsidP="00392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DDA">
              <w:t>GR_transported</w:t>
            </w:r>
          </w:p>
        </w:tc>
      </w:tr>
      <w:tr w:rsidR="006B602F" w14:paraId="5038B605" w14:textId="77777777" w:rsidTr="00392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324490" w14:textId="77777777" w:rsidR="006B602F" w:rsidRPr="00575DDA" w:rsidRDefault="006B602F" w:rsidP="00392F0D">
            <w:r w:rsidRPr="00575DDA">
              <w:t>Unità di misura</w:t>
            </w:r>
          </w:p>
        </w:tc>
        <w:tc>
          <w:tcPr>
            <w:tcW w:w="7790" w:type="dxa"/>
          </w:tcPr>
          <w:p w14:paraId="4D7D0514" w14:textId="77777777" w:rsidR="006B602F" w:rsidRPr="00575DDA" w:rsidRDefault="006B602F" w:rsidP="00392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DDA">
              <w:t>Migliaia di tonnellate</w:t>
            </w:r>
          </w:p>
        </w:tc>
      </w:tr>
      <w:tr w:rsidR="006B602F" w14:paraId="30D4765E" w14:textId="77777777" w:rsidTr="0039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ABAAEB" w14:textId="77777777" w:rsidR="006B602F" w:rsidRPr="00575DDA" w:rsidRDefault="006B602F" w:rsidP="00392F0D">
            <w:r w:rsidRPr="00575DDA">
              <w:t>Fonte tabella</w:t>
            </w:r>
          </w:p>
        </w:tc>
        <w:tc>
          <w:tcPr>
            <w:tcW w:w="7790" w:type="dxa"/>
          </w:tcPr>
          <w:p w14:paraId="16C8CFB1" w14:textId="77777777" w:rsidR="006B602F" w:rsidRPr="00575DDA" w:rsidRDefault="006B602F" w:rsidP="00392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DDA">
              <w:t>Eurostat</w:t>
            </w:r>
          </w:p>
        </w:tc>
      </w:tr>
      <w:tr w:rsidR="006B602F" w14:paraId="617BED70" w14:textId="77777777" w:rsidTr="00392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1CDCF69" w14:textId="77777777" w:rsidR="006B602F" w:rsidRPr="00575DDA" w:rsidRDefault="006B602F" w:rsidP="00392F0D">
            <w:r w:rsidRPr="00575DDA">
              <w:t xml:space="preserve">Link </w:t>
            </w:r>
          </w:p>
        </w:tc>
        <w:tc>
          <w:tcPr>
            <w:tcW w:w="7790" w:type="dxa"/>
          </w:tcPr>
          <w:p w14:paraId="2F9AD220" w14:textId="77777777" w:rsidR="006B602F" w:rsidRPr="00575DDA" w:rsidRDefault="00641C68" w:rsidP="00392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6B602F" w:rsidRPr="00575DDA">
                <w:rPr>
                  <w:rStyle w:val="Collegamentoipertestuale"/>
                </w:rPr>
                <w:t>https://appsso.eurostat.ec.europa.eu/nui/submitViewTableAction.do</w:t>
              </w:r>
            </w:hyperlink>
          </w:p>
        </w:tc>
      </w:tr>
    </w:tbl>
    <w:p w14:paraId="6A50DD64" w14:textId="77777777" w:rsidR="00E93477" w:rsidRDefault="00E93477" w:rsidP="00E93477"/>
    <w:p w14:paraId="3B4A4143" w14:textId="77777777" w:rsidR="001D206A" w:rsidRDefault="006B602F" w:rsidP="006B602F">
      <w:pPr>
        <w:pStyle w:val="Titolo3"/>
      </w:pPr>
      <w:bookmarkStart w:id="7" w:name="_Toc25938761"/>
      <w:r>
        <w:t>2.</w:t>
      </w:r>
      <w:r w:rsidR="002540E8">
        <w:t>1.</w:t>
      </w:r>
      <w:r>
        <w:t>4 Generation of waste</w:t>
      </w:r>
      <w:bookmarkEnd w:id="7"/>
    </w:p>
    <w:p w14:paraId="2AB66B74" w14:textId="77777777" w:rsidR="001D206A" w:rsidRPr="001D206A" w:rsidRDefault="001D206A" w:rsidP="001D206A">
      <w:r>
        <w:t xml:space="preserve">Il fattore indica la quantità totale di rifiuti generati da ognuno degli stati dell’UE. </w:t>
      </w:r>
    </w:p>
    <w:tbl>
      <w:tblPr>
        <w:tblStyle w:val="Tabellasemplice-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790"/>
      </w:tblGrid>
      <w:tr w:rsidR="001D206A" w14:paraId="2520D6B3" w14:textId="77777777" w:rsidTr="00392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44F8E3" w14:textId="77777777" w:rsidR="001D206A" w:rsidRPr="00575DDA" w:rsidRDefault="001D206A" w:rsidP="00392F0D">
            <w:r w:rsidRPr="00575DDA">
              <w:t xml:space="preserve">Settore </w:t>
            </w:r>
          </w:p>
        </w:tc>
        <w:tc>
          <w:tcPr>
            <w:tcW w:w="7790" w:type="dxa"/>
          </w:tcPr>
          <w:p w14:paraId="780CFBB2" w14:textId="77777777" w:rsidR="001D206A" w:rsidRPr="00575DDA" w:rsidRDefault="001D206A" w:rsidP="00392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75DDA">
              <w:rPr>
                <w:b w:val="0"/>
                <w:bCs w:val="0"/>
              </w:rPr>
              <w:t>Rifiuti</w:t>
            </w:r>
          </w:p>
        </w:tc>
      </w:tr>
      <w:tr w:rsidR="001D206A" w14:paraId="548C2CE0" w14:textId="77777777" w:rsidTr="0039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7D94E64" w14:textId="77777777" w:rsidR="001D206A" w:rsidRPr="00575DDA" w:rsidRDefault="001D206A" w:rsidP="00392F0D">
            <w:r w:rsidRPr="00575DDA">
              <w:t>Nome Fattore</w:t>
            </w:r>
          </w:p>
        </w:tc>
        <w:tc>
          <w:tcPr>
            <w:tcW w:w="7790" w:type="dxa"/>
          </w:tcPr>
          <w:p w14:paraId="66A14976" w14:textId="77777777" w:rsidR="001D206A" w:rsidRPr="00575DDA" w:rsidRDefault="001D206A" w:rsidP="00392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DDA">
              <w:t>TW_generated</w:t>
            </w:r>
          </w:p>
        </w:tc>
      </w:tr>
      <w:tr w:rsidR="001D206A" w14:paraId="0BD03C7D" w14:textId="77777777" w:rsidTr="00392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A274A1" w14:textId="77777777" w:rsidR="001D206A" w:rsidRPr="00575DDA" w:rsidRDefault="001D206A" w:rsidP="00392F0D">
            <w:r w:rsidRPr="00575DDA">
              <w:t>Unità di misura</w:t>
            </w:r>
          </w:p>
        </w:tc>
        <w:tc>
          <w:tcPr>
            <w:tcW w:w="7790" w:type="dxa"/>
          </w:tcPr>
          <w:p w14:paraId="13610382" w14:textId="77777777" w:rsidR="001D206A" w:rsidRPr="00575DDA" w:rsidRDefault="001D206A" w:rsidP="00392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DDA">
              <w:t>Tonnellate</w:t>
            </w:r>
          </w:p>
        </w:tc>
      </w:tr>
      <w:tr w:rsidR="001D206A" w14:paraId="1564AF2E" w14:textId="77777777" w:rsidTr="0039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EAD4BF8" w14:textId="77777777" w:rsidR="001D206A" w:rsidRPr="00575DDA" w:rsidRDefault="001D206A" w:rsidP="00392F0D">
            <w:r w:rsidRPr="00575DDA">
              <w:t>Fonte tabella</w:t>
            </w:r>
          </w:p>
        </w:tc>
        <w:tc>
          <w:tcPr>
            <w:tcW w:w="7790" w:type="dxa"/>
          </w:tcPr>
          <w:p w14:paraId="69484AA6" w14:textId="77777777" w:rsidR="001D206A" w:rsidRPr="00575DDA" w:rsidRDefault="001D206A" w:rsidP="00392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DDA">
              <w:t>Eurostat</w:t>
            </w:r>
          </w:p>
        </w:tc>
      </w:tr>
      <w:tr w:rsidR="001D206A" w14:paraId="0F57C3D4" w14:textId="77777777" w:rsidTr="00392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A12843" w14:textId="77777777" w:rsidR="001D206A" w:rsidRPr="00575DDA" w:rsidRDefault="001D206A" w:rsidP="00392F0D">
            <w:r w:rsidRPr="00575DDA">
              <w:t xml:space="preserve">Link </w:t>
            </w:r>
          </w:p>
        </w:tc>
        <w:tc>
          <w:tcPr>
            <w:tcW w:w="7790" w:type="dxa"/>
          </w:tcPr>
          <w:p w14:paraId="0B928728" w14:textId="77777777" w:rsidR="001D206A" w:rsidRPr="00575DDA" w:rsidRDefault="00641C68" w:rsidP="00392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1D206A" w:rsidRPr="00575DDA">
                <w:rPr>
                  <w:rStyle w:val="Collegamentoipertestuale"/>
                </w:rPr>
                <w:t>https://appsso.eurostat.ec.europa.eu/nui/show.do?dataset=env_wasgen&amp;lang=en</w:t>
              </w:r>
            </w:hyperlink>
          </w:p>
        </w:tc>
      </w:tr>
    </w:tbl>
    <w:p w14:paraId="35005BA1" w14:textId="77777777" w:rsidR="006B602F" w:rsidRDefault="006B602F" w:rsidP="006B602F">
      <w:pPr>
        <w:pStyle w:val="Titolo3"/>
      </w:pPr>
      <w:r>
        <w:t xml:space="preserve"> </w:t>
      </w:r>
    </w:p>
    <w:p w14:paraId="69C8117E" w14:textId="77777777" w:rsidR="001D206A" w:rsidRDefault="001D206A" w:rsidP="001D206A">
      <w:pPr>
        <w:pStyle w:val="Titolo3"/>
      </w:pPr>
      <w:bookmarkStart w:id="8" w:name="_Toc25938762"/>
      <w:r>
        <w:t>2.</w:t>
      </w:r>
      <w:r w:rsidR="002540E8">
        <w:t>1.</w:t>
      </w:r>
      <w:r>
        <w:t>5 Utilised agricultural area</w:t>
      </w:r>
      <w:bookmarkEnd w:id="8"/>
      <w:r>
        <w:t xml:space="preserve"> </w:t>
      </w:r>
    </w:p>
    <w:p w14:paraId="3B53FF17" w14:textId="77777777" w:rsidR="001D206A" w:rsidRPr="001D206A" w:rsidRDefault="001D206A" w:rsidP="001D206A">
      <w:r>
        <w:t xml:space="preserve">Il fattore esprime la quantità di area utilizzata per l’agricoltura intensiva in ogni stato dell’UE. L’agricoltura intensiva è una tipologia di agricoltura che permette di sfruttare al massimo la capacità produttiva del terreno. </w:t>
      </w:r>
    </w:p>
    <w:tbl>
      <w:tblPr>
        <w:tblStyle w:val="Tabellasemplice-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790"/>
      </w:tblGrid>
      <w:tr w:rsidR="001D206A" w14:paraId="7F606B7E" w14:textId="77777777" w:rsidTr="00392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6DF9E9" w14:textId="77777777" w:rsidR="001D206A" w:rsidRPr="00575DDA" w:rsidRDefault="001D206A" w:rsidP="00392F0D">
            <w:r w:rsidRPr="00575DDA">
              <w:t xml:space="preserve">Settore </w:t>
            </w:r>
          </w:p>
        </w:tc>
        <w:tc>
          <w:tcPr>
            <w:tcW w:w="7790" w:type="dxa"/>
          </w:tcPr>
          <w:p w14:paraId="36193058" w14:textId="77777777" w:rsidR="001D206A" w:rsidRPr="00575DDA" w:rsidRDefault="004A0BE9" w:rsidP="00392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75DDA">
              <w:rPr>
                <w:b w:val="0"/>
                <w:bCs w:val="0"/>
              </w:rPr>
              <w:t>Agricoltura</w:t>
            </w:r>
          </w:p>
        </w:tc>
      </w:tr>
      <w:tr w:rsidR="001D206A" w14:paraId="55E95DC9" w14:textId="77777777" w:rsidTr="0039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08C493" w14:textId="77777777" w:rsidR="001D206A" w:rsidRPr="00575DDA" w:rsidRDefault="001D206A" w:rsidP="00392F0D">
            <w:r w:rsidRPr="00575DDA">
              <w:t>Nome Fattore</w:t>
            </w:r>
          </w:p>
        </w:tc>
        <w:tc>
          <w:tcPr>
            <w:tcW w:w="7790" w:type="dxa"/>
          </w:tcPr>
          <w:p w14:paraId="386A025C" w14:textId="77777777" w:rsidR="001D206A" w:rsidRPr="00575DDA" w:rsidRDefault="001D206A" w:rsidP="00392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DDA">
              <w:t>TW_generated</w:t>
            </w:r>
          </w:p>
        </w:tc>
      </w:tr>
      <w:tr w:rsidR="001D206A" w14:paraId="6DE79753" w14:textId="77777777" w:rsidTr="00392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BFC41A" w14:textId="77777777" w:rsidR="001D206A" w:rsidRPr="00575DDA" w:rsidRDefault="001D206A" w:rsidP="00392F0D">
            <w:r w:rsidRPr="00575DDA">
              <w:t>Unità di misura</w:t>
            </w:r>
          </w:p>
        </w:tc>
        <w:tc>
          <w:tcPr>
            <w:tcW w:w="7790" w:type="dxa"/>
          </w:tcPr>
          <w:p w14:paraId="7BD322B6" w14:textId="77777777" w:rsidR="001D206A" w:rsidRPr="00575DDA" w:rsidRDefault="004A0BE9" w:rsidP="00392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DDA">
              <w:t xml:space="preserve">Ettari </w:t>
            </w:r>
          </w:p>
        </w:tc>
      </w:tr>
      <w:tr w:rsidR="001D206A" w14:paraId="4F0D1EA1" w14:textId="77777777" w:rsidTr="0039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A54B0E" w14:textId="77777777" w:rsidR="001D206A" w:rsidRPr="00575DDA" w:rsidRDefault="001D206A" w:rsidP="00392F0D">
            <w:r w:rsidRPr="00575DDA">
              <w:t>Fonte tabella</w:t>
            </w:r>
          </w:p>
        </w:tc>
        <w:tc>
          <w:tcPr>
            <w:tcW w:w="7790" w:type="dxa"/>
          </w:tcPr>
          <w:p w14:paraId="283D3453" w14:textId="77777777" w:rsidR="001D206A" w:rsidRPr="00575DDA" w:rsidRDefault="001D206A" w:rsidP="00392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DDA">
              <w:t>Eurostat</w:t>
            </w:r>
          </w:p>
        </w:tc>
      </w:tr>
      <w:tr w:rsidR="001D206A" w14:paraId="599B57FE" w14:textId="77777777" w:rsidTr="00392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5CF575" w14:textId="77777777" w:rsidR="001D206A" w:rsidRPr="00575DDA" w:rsidRDefault="001D206A" w:rsidP="00392F0D">
            <w:r w:rsidRPr="00575DDA">
              <w:t xml:space="preserve">Link </w:t>
            </w:r>
          </w:p>
        </w:tc>
        <w:tc>
          <w:tcPr>
            <w:tcW w:w="7790" w:type="dxa"/>
          </w:tcPr>
          <w:p w14:paraId="1A4163B8" w14:textId="77777777" w:rsidR="001D206A" w:rsidRPr="00575DDA" w:rsidRDefault="00641C68" w:rsidP="00392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4A0BE9" w:rsidRPr="00575DDA">
                <w:rPr>
                  <w:rStyle w:val="Collegamentoipertestuale"/>
                </w:rPr>
                <w:t>https://appsso.eurostat.ec.europa.eu/nui/show.do?dataset=aei_ps_inp&amp;lang=en</w:t>
              </w:r>
            </w:hyperlink>
          </w:p>
        </w:tc>
      </w:tr>
    </w:tbl>
    <w:p w14:paraId="378B966C" w14:textId="77777777" w:rsidR="001D206A" w:rsidRDefault="001D206A" w:rsidP="001D206A"/>
    <w:p w14:paraId="01167D56" w14:textId="77777777" w:rsidR="0045111E" w:rsidRDefault="0045111E" w:rsidP="0045111E"/>
    <w:p w14:paraId="56D30663" w14:textId="77777777" w:rsidR="0045111E" w:rsidRDefault="0045111E" w:rsidP="0045111E"/>
    <w:p w14:paraId="78A8DC01" w14:textId="77777777" w:rsidR="0045111E" w:rsidRDefault="0045111E" w:rsidP="0045111E"/>
    <w:p w14:paraId="010D0814" w14:textId="77777777" w:rsidR="0045111E" w:rsidRPr="0045111E" w:rsidRDefault="0045111E" w:rsidP="0045111E"/>
    <w:p w14:paraId="6BFBA887" w14:textId="77777777" w:rsidR="004A0BE9" w:rsidRDefault="004A0BE9" w:rsidP="004A0BE9">
      <w:pPr>
        <w:pStyle w:val="Titolo3"/>
      </w:pPr>
      <w:bookmarkStart w:id="9" w:name="_Toc25938763"/>
      <w:r>
        <w:lastRenderedPageBreak/>
        <w:t>2.</w:t>
      </w:r>
      <w:r w:rsidR="002540E8">
        <w:t>1.</w:t>
      </w:r>
      <w:r>
        <w:t>6 Bovine population</w:t>
      </w:r>
      <w:bookmarkEnd w:id="9"/>
    </w:p>
    <w:p w14:paraId="307D24E7" w14:textId="77777777" w:rsidR="004A0BE9" w:rsidRPr="004A0BE9" w:rsidRDefault="004A0BE9" w:rsidP="004A0BE9">
      <w:r>
        <w:t xml:space="preserve">Il fattore esprime il numero di migliaia di bovini </w:t>
      </w:r>
      <w:r w:rsidR="009447E5">
        <w:t>in vita in tutti gli allevamenti per ogni stato dell’UE.</w:t>
      </w:r>
    </w:p>
    <w:tbl>
      <w:tblPr>
        <w:tblStyle w:val="Tabellasemplice-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790"/>
      </w:tblGrid>
      <w:tr w:rsidR="004A0BE9" w14:paraId="24B694E0" w14:textId="77777777" w:rsidTr="00392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FD7979" w14:textId="77777777" w:rsidR="004A0BE9" w:rsidRPr="00575DDA" w:rsidRDefault="004A0BE9" w:rsidP="00392F0D">
            <w:r w:rsidRPr="00575DDA">
              <w:t xml:space="preserve">Settore </w:t>
            </w:r>
          </w:p>
        </w:tc>
        <w:tc>
          <w:tcPr>
            <w:tcW w:w="7790" w:type="dxa"/>
          </w:tcPr>
          <w:p w14:paraId="562A02B4" w14:textId="77777777" w:rsidR="004A0BE9" w:rsidRPr="00575DDA" w:rsidRDefault="004A0BE9" w:rsidP="00392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75DDA">
              <w:rPr>
                <w:b w:val="0"/>
                <w:bCs w:val="0"/>
              </w:rPr>
              <w:t>Agricoltura</w:t>
            </w:r>
          </w:p>
        </w:tc>
      </w:tr>
      <w:tr w:rsidR="004A0BE9" w14:paraId="281D0A70" w14:textId="77777777" w:rsidTr="0039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B7A14EB" w14:textId="77777777" w:rsidR="004A0BE9" w:rsidRPr="00575DDA" w:rsidRDefault="004A0BE9" w:rsidP="00392F0D">
            <w:r w:rsidRPr="00575DDA">
              <w:t>Nome Fattore</w:t>
            </w:r>
          </w:p>
        </w:tc>
        <w:tc>
          <w:tcPr>
            <w:tcW w:w="7790" w:type="dxa"/>
          </w:tcPr>
          <w:p w14:paraId="6581300B" w14:textId="77777777" w:rsidR="004A0BE9" w:rsidRPr="00575DDA" w:rsidRDefault="004A0BE9" w:rsidP="00392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DDA">
              <w:t>TW_generated</w:t>
            </w:r>
          </w:p>
        </w:tc>
      </w:tr>
      <w:tr w:rsidR="004A0BE9" w14:paraId="025252C4" w14:textId="77777777" w:rsidTr="00392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262880" w14:textId="77777777" w:rsidR="004A0BE9" w:rsidRPr="00575DDA" w:rsidRDefault="004A0BE9" w:rsidP="00392F0D">
            <w:r w:rsidRPr="00575DDA">
              <w:t>Unità di misura</w:t>
            </w:r>
          </w:p>
        </w:tc>
        <w:tc>
          <w:tcPr>
            <w:tcW w:w="7790" w:type="dxa"/>
          </w:tcPr>
          <w:p w14:paraId="3BECB115" w14:textId="77777777" w:rsidR="004A0BE9" w:rsidRPr="00575DDA" w:rsidRDefault="004A0BE9" w:rsidP="00392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DDA">
              <w:t>Migliaia di unità</w:t>
            </w:r>
          </w:p>
        </w:tc>
      </w:tr>
      <w:tr w:rsidR="004A0BE9" w14:paraId="6978E1FA" w14:textId="77777777" w:rsidTr="0039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3DDE67" w14:textId="77777777" w:rsidR="004A0BE9" w:rsidRPr="00575DDA" w:rsidRDefault="004A0BE9" w:rsidP="00392F0D">
            <w:r w:rsidRPr="00575DDA">
              <w:t>Fonte tabella</w:t>
            </w:r>
          </w:p>
        </w:tc>
        <w:tc>
          <w:tcPr>
            <w:tcW w:w="7790" w:type="dxa"/>
          </w:tcPr>
          <w:p w14:paraId="7F89EDE8" w14:textId="77777777" w:rsidR="004A0BE9" w:rsidRPr="00575DDA" w:rsidRDefault="004A0BE9" w:rsidP="00392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DDA">
              <w:t>Eurostat</w:t>
            </w:r>
          </w:p>
        </w:tc>
      </w:tr>
      <w:tr w:rsidR="004A0BE9" w14:paraId="63EFA514" w14:textId="77777777" w:rsidTr="00392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822808" w14:textId="77777777" w:rsidR="004A0BE9" w:rsidRPr="00575DDA" w:rsidRDefault="004A0BE9" w:rsidP="00392F0D">
            <w:r w:rsidRPr="00575DDA">
              <w:t xml:space="preserve">Link </w:t>
            </w:r>
          </w:p>
        </w:tc>
        <w:tc>
          <w:tcPr>
            <w:tcW w:w="7790" w:type="dxa"/>
          </w:tcPr>
          <w:p w14:paraId="6546B08B" w14:textId="77777777" w:rsidR="004A0BE9" w:rsidRPr="00575DDA" w:rsidRDefault="00641C68" w:rsidP="00392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9447E5" w:rsidRPr="00575DDA">
                <w:rPr>
                  <w:rStyle w:val="Collegamentoipertestuale"/>
                </w:rPr>
                <w:t>https://appsso.eurostat.ec.europa.eu/nui/show.do?dataset=apro_mt_lscatl&amp;lang=en</w:t>
              </w:r>
            </w:hyperlink>
          </w:p>
        </w:tc>
      </w:tr>
    </w:tbl>
    <w:p w14:paraId="7B9CCF45" w14:textId="77777777" w:rsidR="004A0BE9" w:rsidRDefault="004A0BE9" w:rsidP="004A0BE9"/>
    <w:p w14:paraId="49C8968F" w14:textId="77777777" w:rsidR="009447E5" w:rsidRDefault="009447E5" w:rsidP="009447E5">
      <w:pPr>
        <w:pStyle w:val="Titolo3"/>
      </w:pPr>
      <w:bookmarkStart w:id="10" w:name="_Toc25938764"/>
      <w:r>
        <w:t>2.</w:t>
      </w:r>
      <w:r w:rsidR="002540E8">
        <w:t>1.</w:t>
      </w:r>
      <w:r>
        <w:t>7 Electricity production capacities for renewables</w:t>
      </w:r>
      <w:bookmarkEnd w:id="10"/>
      <w:r>
        <w:t xml:space="preserve"> </w:t>
      </w:r>
    </w:p>
    <w:p w14:paraId="2F44B59B" w14:textId="77777777" w:rsidR="009447E5" w:rsidRDefault="009447E5" w:rsidP="009447E5">
      <w:r>
        <w:t>Il fattore esprime la capacità di produzione di energia rinnovabile per ogni stato dell’UE.</w:t>
      </w:r>
    </w:p>
    <w:tbl>
      <w:tblPr>
        <w:tblStyle w:val="Tabellasemplice-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790"/>
      </w:tblGrid>
      <w:tr w:rsidR="009447E5" w14:paraId="32253CD3" w14:textId="77777777" w:rsidTr="00392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F7C3FC" w14:textId="77777777" w:rsidR="009447E5" w:rsidRPr="00575DDA" w:rsidRDefault="009447E5" w:rsidP="00392F0D">
            <w:r w:rsidRPr="00575DDA">
              <w:t xml:space="preserve">Settore </w:t>
            </w:r>
          </w:p>
        </w:tc>
        <w:tc>
          <w:tcPr>
            <w:tcW w:w="7790" w:type="dxa"/>
          </w:tcPr>
          <w:p w14:paraId="3126A218" w14:textId="77777777" w:rsidR="009447E5" w:rsidRPr="00575DDA" w:rsidRDefault="009447E5" w:rsidP="00392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75DDA">
              <w:rPr>
                <w:b w:val="0"/>
                <w:bCs w:val="0"/>
              </w:rPr>
              <w:t xml:space="preserve">Energia rinnovabile </w:t>
            </w:r>
          </w:p>
        </w:tc>
      </w:tr>
      <w:tr w:rsidR="009447E5" w14:paraId="0DFAA7D1" w14:textId="77777777" w:rsidTr="0039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9B36C7" w14:textId="77777777" w:rsidR="009447E5" w:rsidRPr="00575DDA" w:rsidRDefault="009447E5" w:rsidP="00392F0D">
            <w:r w:rsidRPr="00575DDA">
              <w:t>Nome Fattore</w:t>
            </w:r>
          </w:p>
        </w:tc>
        <w:tc>
          <w:tcPr>
            <w:tcW w:w="7790" w:type="dxa"/>
          </w:tcPr>
          <w:p w14:paraId="32915F1D" w14:textId="77777777" w:rsidR="009447E5" w:rsidRPr="00575DDA" w:rsidRDefault="009447E5" w:rsidP="00392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DDA">
              <w:t>EP_renewables</w:t>
            </w:r>
          </w:p>
        </w:tc>
      </w:tr>
      <w:tr w:rsidR="009447E5" w14:paraId="22F111C7" w14:textId="77777777" w:rsidTr="00392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04ACF4" w14:textId="77777777" w:rsidR="009447E5" w:rsidRPr="00575DDA" w:rsidRDefault="009447E5" w:rsidP="00392F0D">
            <w:r w:rsidRPr="00575DDA">
              <w:t>Unità di misura</w:t>
            </w:r>
          </w:p>
        </w:tc>
        <w:tc>
          <w:tcPr>
            <w:tcW w:w="7790" w:type="dxa"/>
          </w:tcPr>
          <w:p w14:paraId="226BF70A" w14:textId="77777777" w:rsidR="009447E5" w:rsidRPr="00575DDA" w:rsidRDefault="009447E5" w:rsidP="00392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DDA">
              <w:t>Megawatt</w:t>
            </w:r>
          </w:p>
        </w:tc>
      </w:tr>
      <w:tr w:rsidR="009447E5" w14:paraId="71E0E2A9" w14:textId="77777777" w:rsidTr="0039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43BC4A" w14:textId="77777777" w:rsidR="009447E5" w:rsidRPr="00575DDA" w:rsidRDefault="009447E5" w:rsidP="00392F0D">
            <w:r w:rsidRPr="00575DDA">
              <w:t>Fonte tabella</w:t>
            </w:r>
          </w:p>
        </w:tc>
        <w:tc>
          <w:tcPr>
            <w:tcW w:w="7790" w:type="dxa"/>
          </w:tcPr>
          <w:p w14:paraId="629B10D0" w14:textId="77777777" w:rsidR="009447E5" w:rsidRPr="00575DDA" w:rsidRDefault="009447E5" w:rsidP="00392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DDA">
              <w:t>Eurostat</w:t>
            </w:r>
          </w:p>
        </w:tc>
      </w:tr>
      <w:tr w:rsidR="009447E5" w14:paraId="35F53260" w14:textId="77777777" w:rsidTr="00392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646B33" w14:textId="77777777" w:rsidR="009447E5" w:rsidRPr="00575DDA" w:rsidRDefault="009447E5" w:rsidP="00392F0D">
            <w:r w:rsidRPr="00575DDA">
              <w:t xml:space="preserve">Link </w:t>
            </w:r>
          </w:p>
        </w:tc>
        <w:tc>
          <w:tcPr>
            <w:tcW w:w="7790" w:type="dxa"/>
          </w:tcPr>
          <w:p w14:paraId="36715C78" w14:textId="77777777" w:rsidR="009447E5" w:rsidRPr="00575DDA" w:rsidRDefault="00641C68" w:rsidP="00392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6D254A" w:rsidRPr="00575DDA">
                <w:rPr>
                  <w:rStyle w:val="Collegamentoipertestuale"/>
                </w:rPr>
                <w:t>https://appsso.eurostat.ec.europa.eu/nui/show.do?dataset=nrg_inf_epcrw&amp;lang=en</w:t>
              </w:r>
            </w:hyperlink>
          </w:p>
        </w:tc>
      </w:tr>
    </w:tbl>
    <w:p w14:paraId="1A9A4AFE" w14:textId="77777777" w:rsidR="009447E5" w:rsidRDefault="009447E5" w:rsidP="009447E5"/>
    <w:p w14:paraId="2C3BBC01" w14:textId="77777777" w:rsidR="006D254A" w:rsidRDefault="006D254A" w:rsidP="006D254A">
      <w:pPr>
        <w:pStyle w:val="Titolo3"/>
        <w:rPr>
          <w:lang w:val="en-US"/>
        </w:rPr>
      </w:pPr>
      <w:bookmarkStart w:id="11" w:name="_Toc25938765"/>
      <w:r w:rsidRPr="006D254A">
        <w:rPr>
          <w:lang w:val="en-US"/>
        </w:rPr>
        <w:t>2.</w:t>
      </w:r>
      <w:r w:rsidR="002540E8">
        <w:rPr>
          <w:lang w:val="en-US"/>
        </w:rPr>
        <w:t>1.</w:t>
      </w:r>
      <w:r w:rsidRPr="006D254A">
        <w:rPr>
          <w:lang w:val="en-US"/>
        </w:rPr>
        <w:t>8 Solar energy supply</w:t>
      </w:r>
      <w:r>
        <w:rPr>
          <w:lang w:val="en-US"/>
        </w:rPr>
        <w:t>,</w:t>
      </w:r>
      <w:r w:rsidRPr="006D254A">
        <w:rPr>
          <w:lang w:val="en-US"/>
        </w:rPr>
        <w:t xml:space="preserve"> transformation and c</w:t>
      </w:r>
      <w:r>
        <w:rPr>
          <w:lang w:val="en-US"/>
        </w:rPr>
        <w:t>onsumption</w:t>
      </w:r>
      <w:bookmarkEnd w:id="11"/>
    </w:p>
    <w:p w14:paraId="0AA84204" w14:textId="77777777" w:rsidR="006D254A" w:rsidRPr="006D254A" w:rsidRDefault="006D254A" w:rsidP="006D254A">
      <w:r w:rsidRPr="006D254A">
        <w:t>Il fattore esprime la q</w:t>
      </w:r>
      <w:r>
        <w:t xml:space="preserve">uantità di energia solare utilizzata in ogni stato dell’UE. </w:t>
      </w:r>
    </w:p>
    <w:tbl>
      <w:tblPr>
        <w:tblStyle w:val="Tabellasemplice-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790"/>
      </w:tblGrid>
      <w:tr w:rsidR="006D254A" w14:paraId="0550BD1E" w14:textId="77777777" w:rsidTr="00392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F94A26" w14:textId="77777777" w:rsidR="006D254A" w:rsidRPr="00575DDA" w:rsidRDefault="006D254A" w:rsidP="00392F0D">
            <w:r w:rsidRPr="00575DDA">
              <w:t xml:space="preserve">Settore </w:t>
            </w:r>
          </w:p>
        </w:tc>
        <w:tc>
          <w:tcPr>
            <w:tcW w:w="7790" w:type="dxa"/>
          </w:tcPr>
          <w:p w14:paraId="3D9E8492" w14:textId="77777777" w:rsidR="006D254A" w:rsidRPr="00575DDA" w:rsidRDefault="006D254A" w:rsidP="00392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75DDA">
              <w:rPr>
                <w:b w:val="0"/>
                <w:bCs w:val="0"/>
              </w:rPr>
              <w:t xml:space="preserve">Energia rinnovabile </w:t>
            </w:r>
          </w:p>
        </w:tc>
      </w:tr>
      <w:tr w:rsidR="006D254A" w14:paraId="1B76F486" w14:textId="77777777" w:rsidTr="0039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73E6D8" w14:textId="77777777" w:rsidR="006D254A" w:rsidRPr="00575DDA" w:rsidRDefault="006D254A" w:rsidP="00392F0D">
            <w:r w:rsidRPr="00575DDA">
              <w:t>Nome Fattore</w:t>
            </w:r>
          </w:p>
        </w:tc>
        <w:tc>
          <w:tcPr>
            <w:tcW w:w="7790" w:type="dxa"/>
          </w:tcPr>
          <w:p w14:paraId="4A6B8FC2" w14:textId="77777777" w:rsidR="006D254A" w:rsidRPr="00575DDA" w:rsidRDefault="006D254A" w:rsidP="00392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DDA">
              <w:t>SE_renewables</w:t>
            </w:r>
          </w:p>
        </w:tc>
      </w:tr>
      <w:tr w:rsidR="006D254A" w14:paraId="3F168991" w14:textId="77777777" w:rsidTr="00392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8F7380" w14:textId="77777777" w:rsidR="006D254A" w:rsidRPr="00575DDA" w:rsidRDefault="006D254A" w:rsidP="00392F0D">
            <w:r w:rsidRPr="00575DDA">
              <w:t>Unità di misura</w:t>
            </w:r>
          </w:p>
        </w:tc>
        <w:tc>
          <w:tcPr>
            <w:tcW w:w="7790" w:type="dxa"/>
          </w:tcPr>
          <w:p w14:paraId="434EBF87" w14:textId="77777777" w:rsidR="006D254A" w:rsidRPr="00575DDA" w:rsidRDefault="006D254A" w:rsidP="00392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DDA">
              <w:t>Terajoule</w:t>
            </w:r>
          </w:p>
        </w:tc>
      </w:tr>
      <w:tr w:rsidR="006D254A" w14:paraId="10E612DF" w14:textId="77777777" w:rsidTr="0039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A84C40" w14:textId="77777777" w:rsidR="006D254A" w:rsidRPr="00575DDA" w:rsidRDefault="006D254A" w:rsidP="00392F0D">
            <w:r w:rsidRPr="00575DDA">
              <w:t>Fonte tabella</w:t>
            </w:r>
          </w:p>
        </w:tc>
        <w:tc>
          <w:tcPr>
            <w:tcW w:w="7790" w:type="dxa"/>
          </w:tcPr>
          <w:p w14:paraId="79822583" w14:textId="77777777" w:rsidR="006D254A" w:rsidRPr="00575DDA" w:rsidRDefault="006D254A" w:rsidP="00392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DDA">
              <w:t>Eurostat</w:t>
            </w:r>
          </w:p>
        </w:tc>
      </w:tr>
      <w:tr w:rsidR="006D254A" w14:paraId="6DF781C4" w14:textId="77777777" w:rsidTr="00392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56EA749" w14:textId="77777777" w:rsidR="006D254A" w:rsidRPr="00575DDA" w:rsidRDefault="006D254A" w:rsidP="00392F0D">
            <w:r w:rsidRPr="00575DDA">
              <w:t xml:space="preserve">Link </w:t>
            </w:r>
          </w:p>
        </w:tc>
        <w:tc>
          <w:tcPr>
            <w:tcW w:w="7790" w:type="dxa"/>
          </w:tcPr>
          <w:p w14:paraId="61149726" w14:textId="77777777" w:rsidR="006D254A" w:rsidRPr="00575DDA" w:rsidRDefault="00641C68" w:rsidP="00392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6D254A" w:rsidRPr="00575DDA">
                <w:rPr>
                  <w:rStyle w:val="Collegamentoipertestuale"/>
                </w:rPr>
                <w:t>https://appsso.eurostat.ec.europa.eu/nui/submitViewTableAction.do</w:t>
              </w:r>
            </w:hyperlink>
          </w:p>
        </w:tc>
      </w:tr>
    </w:tbl>
    <w:p w14:paraId="4B3A2ACC" w14:textId="77777777" w:rsidR="008A215E" w:rsidRPr="00CB27FE" w:rsidRDefault="008A215E" w:rsidP="00CB27FE"/>
    <w:p w14:paraId="1188B1D9" w14:textId="77777777" w:rsidR="006D254A" w:rsidRPr="00747DE9" w:rsidRDefault="006D254A" w:rsidP="006D254A">
      <w:pPr>
        <w:pStyle w:val="Titolo3"/>
      </w:pPr>
      <w:bookmarkStart w:id="12" w:name="_Toc25938766"/>
      <w:r w:rsidRPr="00747DE9">
        <w:t>2.</w:t>
      </w:r>
      <w:r w:rsidR="002540E8">
        <w:t>1.</w:t>
      </w:r>
      <w:r w:rsidR="00A2254E">
        <w:t>9</w:t>
      </w:r>
      <w:r w:rsidRPr="00747DE9">
        <w:t xml:space="preserve"> </w:t>
      </w:r>
      <w:r w:rsidR="00E328FF" w:rsidRPr="00747DE9">
        <w:t>Forestry areas</w:t>
      </w:r>
      <w:bookmarkEnd w:id="12"/>
      <w:r w:rsidR="00E328FF" w:rsidRPr="00747DE9">
        <w:t xml:space="preserve"> </w:t>
      </w:r>
    </w:p>
    <w:p w14:paraId="441B8E39" w14:textId="77777777" w:rsidR="00E328FF" w:rsidRDefault="00E328FF" w:rsidP="00E328FF">
      <w:r>
        <w:t xml:space="preserve">L’indicatore misura la proporzione di ecosistemi forestali rispetto alla superficie totale del territorio per ogni stato dell’UE. </w:t>
      </w:r>
    </w:p>
    <w:tbl>
      <w:tblPr>
        <w:tblStyle w:val="Tabellasemplice-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790"/>
      </w:tblGrid>
      <w:tr w:rsidR="00E328FF" w14:paraId="4772D646" w14:textId="77777777" w:rsidTr="00392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2C09FB" w14:textId="77777777" w:rsidR="00E328FF" w:rsidRPr="00575DDA" w:rsidRDefault="00E328FF" w:rsidP="00392F0D">
            <w:r w:rsidRPr="00575DDA">
              <w:t xml:space="preserve">Settore </w:t>
            </w:r>
          </w:p>
        </w:tc>
        <w:tc>
          <w:tcPr>
            <w:tcW w:w="7790" w:type="dxa"/>
          </w:tcPr>
          <w:p w14:paraId="6487C3E3" w14:textId="77777777" w:rsidR="00E328FF" w:rsidRPr="00575DDA" w:rsidRDefault="00E328FF" w:rsidP="00392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75DDA">
              <w:rPr>
                <w:b w:val="0"/>
                <w:bCs w:val="0"/>
              </w:rPr>
              <w:t>Aree verdi</w:t>
            </w:r>
          </w:p>
        </w:tc>
      </w:tr>
      <w:tr w:rsidR="00E328FF" w14:paraId="1B838F58" w14:textId="77777777" w:rsidTr="0039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B930A1B" w14:textId="77777777" w:rsidR="00E328FF" w:rsidRPr="00575DDA" w:rsidRDefault="00E328FF" w:rsidP="00392F0D">
            <w:r w:rsidRPr="00575DDA">
              <w:t>Nome Fattore</w:t>
            </w:r>
          </w:p>
        </w:tc>
        <w:tc>
          <w:tcPr>
            <w:tcW w:w="7790" w:type="dxa"/>
          </w:tcPr>
          <w:p w14:paraId="72F77D01" w14:textId="77777777" w:rsidR="00E328FF" w:rsidRPr="00575DDA" w:rsidRDefault="00E328FF" w:rsidP="00392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DDA">
              <w:t>F_area</w:t>
            </w:r>
          </w:p>
        </w:tc>
      </w:tr>
      <w:tr w:rsidR="00E328FF" w14:paraId="3E8660D3" w14:textId="77777777" w:rsidTr="00392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1EDFBD" w14:textId="77777777" w:rsidR="00E328FF" w:rsidRPr="00575DDA" w:rsidRDefault="00E328FF" w:rsidP="00392F0D">
            <w:r w:rsidRPr="00575DDA">
              <w:t>Unità di misura</w:t>
            </w:r>
          </w:p>
        </w:tc>
        <w:tc>
          <w:tcPr>
            <w:tcW w:w="7790" w:type="dxa"/>
          </w:tcPr>
          <w:p w14:paraId="387A150D" w14:textId="77777777" w:rsidR="00E328FF" w:rsidRPr="00575DDA" w:rsidRDefault="00E328FF" w:rsidP="00392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DDA">
              <w:t>% del territorio totale</w:t>
            </w:r>
          </w:p>
        </w:tc>
      </w:tr>
      <w:tr w:rsidR="00E328FF" w:rsidRPr="00E328FF" w14:paraId="71689CF1" w14:textId="77777777" w:rsidTr="0039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3D54F8" w14:textId="77777777" w:rsidR="00E328FF" w:rsidRPr="00575DDA" w:rsidRDefault="00E328FF" w:rsidP="00392F0D">
            <w:r w:rsidRPr="00575DDA">
              <w:t>Fonte tabella</w:t>
            </w:r>
          </w:p>
        </w:tc>
        <w:tc>
          <w:tcPr>
            <w:tcW w:w="7790" w:type="dxa"/>
          </w:tcPr>
          <w:p w14:paraId="7FF19185" w14:textId="77777777" w:rsidR="00E328FF" w:rsidRPr="00575DDA" w:rsidRDefault="00E328FF" w:rsidP="00392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5DDA">
              <w:t>Eurostat</w:t>
            </w:r>
          </w:p>
        </w:tc>
      </w:tr>
      <w:tr w:rsidR="00E328FF" w14:paraId="4C90D4B4" w14:textId="77777777" w:rsidTr="00392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559ACAE" w14:textId="77777777" w:rsidR="00E328FF" w:rsidRPr="00575DDA" w:rsidRDefault="00E328FF" w:rsidP="00392F0D">
            <w:r w:rsidRPr="00575DDA">
              <w:t xml:space="preserve">Link </w:t>
            </w:r>
          </w:p>
        </w:tc>
        <w:tc>
          <w:tcPr>
            <w:tcW w:w="7790" w:type="dxa"/>
          </w:tcPr>
          <w:p w14:paraId="6C427509" w14:textId="77777777" w:rsidR="00E328FF" w:rsidRPr="00575DDA" w:rsidRDefault="00641C68" w:rsidP="00392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E328FF" w:rsidRPr="00575DDA">
                <w:rPr>
                  <w:rStyle w:val="Collegamentoipertestuale"/>
                </w:rPr>
                <w:t>https://ec.europa.eu/eurostat/tgm/table.do?tab=table&amp;plugin=1&amp;language=en&amp;pcode=sdg_15_10</w:t>
              </w:r>
            </w:hyperlink>
          </w:p>
        </w:tc>
      </w:tr>
    </w:tbl>
    <w:p w14:paraId="6B3CCFBC" w14:textId="77777777" w:rsidR="00E328FF" w:rsidRDefault="00E328FF" w:rsidP="00E328FF"/>
    <w:p w14:paraId="16FA510A" w14:textId="77777777" w:rsidR="009233AF" w:rsidRDefault="009233AF" w:rsidP="00E328FF">
      <w:r>
        <w:tab/>
      </w:r>
    </w:p>
    <w:p w14:paraId="1C03BC49" w14:textId="77777777" w:rsidR="00E328FF" w:rsidRDefault="00E328FF" w:rsidP="00E328FF">
      <w:pPr>
        <w:pStyle w:val="Titolo3"/>
      </w:pPr>
      <w:bookmarkStart w:id="13" w:name="_Toc25938767"/>
      <w:r>
        <w:lastRenderedPageBreak/>
        <w:t>2.</w:t>
      </w:r>
      <w:r w:rsidR="008F21C1">
        <w:t>1.</w:t>
      </w:r>
      <w:r>
        <w:t>1</w:t>
      </w:r>
      <w:r w:rsidR="00A2254E">
        <w:t>0</w:t>
      </w:r>
      <w:r>
        <w:t xml:space="preserve"> Tree occurrence</w:t>
      </w:r>
      <w:r w:rsidR="001E24EF">
        <w:t>s</w:t>
      </w:r>
      <w:bookmarkEnd w:id="13"/>
      <w:r>
        <w:t xml:space="preserve"> </w:t>
      </w:r>
    </w:p>
    <w:p w14:paraId="565AF337" w14:textId="77777777" w:rsidR="009233AF" w:rsidRPr="009233AF" w:rsidRDefault="009233AF" w:rsidP="009233AF">
      <w:r>
        <w:t>Il fattore è stato estratto da una tabella riportata in un articolo scientifico</w:t>
      </w:r>
      <w:r>
        <w:rPr>
          <w:rStyle w:val="Rimandonotaapidipagina"/>
        </w:rPr>
        <w:footnoteReference w:id="1"/>
      </w:r>
      <w:r>
        <w:t xml:space="preserve"> (reperibile al link riportato nella tabella sottostante) ed esprime il numero di occorrenze di alberi di ogni specie in ognuno degli stati dell’ UE.</w:t>
      </w:r>
    </w:p>
    <w:tbl>
      <w:tblPr>
        <w:tblStyle w:val="Tabellasemplice-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790"/>
      </w:tblGrid>
      <w:tr w:rsidR="009233AF" w14:paraId="62719C4C" w14:textId="77777777" w:rsidTr="00392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3175BF" w14:textId="77777777" w:rsidR="009233AF" w:rsidRPr="00575DDA" w:rsidRDefault="009233AF" w:rsidP="00392F0D">
            <w:r w:rsidRPr="00575DDA">
              <w:t xml:space="preserve">Settore </w:t>
            </w:r>
          </w:p>
        </w:tc>
        <w:tc>
          <w:tcPr>
            <w:tcW w:w="7790" w:type="dxa"/>
          </w:tcPr>
          <w:p w14:paraId="567F0863" w14:textId="77777777" w:rsidR="009233AF" w:rsidRPr="00575DDA" w:rsidRDefault="009233AF" w:rsidP="00392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75DDA">
              <w:rPr>
                <w:b w:val="0"/>
                <w:bCs w:val="0"/>
              </w:rPr>
              <w:t>Aree verdi</w:t>
            </w:r>
          </w:p>
        </w:tc>
      </w:tr>
      <w:tr w:rsidR="009233AF" w14:paraId="0DAAEECB" w14:textId="77777777" w:rsidTr="0039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8603C0" w14:textId="77777777" w:rsidR="009233AF" w:rsidRPr="00575DDA" w:rsidRDefault="009233AF" w:rsidP="00392F0D">
            <w:r w:rsidRPr="00575DDA">
              <w:t>Nome Fattore</w:t>
            </w:r>
          </w:p>
        </w:tc>
        <w:tc>
          <w:tcPr>
            <w:tcW w:w="7790" w:type="dxa"/>
          </w:tcPr>
          <w:p w14:paraId="1F4AA50F" w14:textId="77777777" w:rsidR="009233AF" w:rsidRPr="00575DDA" w:rsidRDefault="009233AF" w:rsidP="00392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DDA">
              <w:t>T_occurrences</w:t>
            </w:r>
          </w:p>
        </w:tc>
      </w:tr>
      <w:tr w:rsidR="009233AF" w14:paraId="732544C7" w14:textId="77777777" w:rsidTr="00392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979A04" w14:textId="77777777" w:rsidR="009233AF" w:rsidRPr="00575DDA" w:rsidRDefault="009233AF" w:rsidP="00392F0D">
            <w:r w:rsidRPr="00575DDA">
              <w:t>Unità di misura</w:t>
            </w:r>
          </w:p>
        </w:tc>
        <w:tc>
          <w:tcPr>
            <w:tcW w:w="7790" w:type="dxa"/>
          </w:tcPr>
          <w:p w14:paraId="5FFC751A" w14:textId="77777777" w:rsidR="009233AF" w:rsidRPr="00575DDA" w:rsidRDefault="009233AF" w:rsidP="00392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DDA">
              <w:t>Numero di unità</w:t>
            </w:r>
          </w:p>
        </w:tc>
      </w:tr>
      <w:tr w:rsidR="009233AF" w:rsidRPr="008633AA" w14:paraId="5E341102" w14:textId="77777777" w:rsidTr="0039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7CC7A6E" w14:textId="77777777" w:rsidR="009233AF" w:rsidRPr="00575DDA" w:rsidRDefault="009233AF" w:rsidP="00392F0D">
            <w:r w:rsidRPr="00575DDA">
              <w:t>Fonte tabella</w:t>
            </w:r>
          </w:p>
        </w:tc>
        <w:tc>
          <w:tcPr>
            <w:tcW w:w="7790" w:type="dxa"/>
          </w:tcPr>
          <w:p w14:paraId="7A81BCC7" w14:textId="77777777" w:rsidR="009233AF" w:rsidRPr="00575DDA" w:rsidRDefault="009233AF" w:rsidP="00392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5DDA">
              <w:rPr>
                <w:lang w:val="en-US"/>
              </w:rPr>
              <w:t xml:space="preserve">NCBI – National Center for Biotechnology Information </w:t>
            </w:r>
          </w:p>
        </w:tc>
      </w:tr>
      <w:tr w:rsidR="009233AF" w14:paraId="1850117A" w14:textId="77777777" w:rsidTr="00392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7D572A" w14:textId="77777777" w:rsidR="009233AF" w:rsidRPr="00575DDA" w:rsidRDefault="009233AF" w:rsidP="00392F0D">
            <w:r w:rsidRPr="00575DDA">
              <w:t xml:space="preserve">Link </w:t>
            </w:r>
          </w:p>
        </w:tc>
        <w:tc>
          <w:tcPr>
            <w:tcW w:w="7790" w:type="dxa"/>
          </w:tcPr>
          <w:p w14:paraId="7985AD23" w14:textId="77777777" w:rsidR="009233AF" w:rsidRPr="00575DDA" w:rsidRDefault="00641C68" w:rsidP="00392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9233AF" w:rsidRPr="00575DDA">
                <w:rPr>
                  <w:rStyle w:val="Collegamentoipertestuale"/>
                </w:rPr>
                <w:t>https://www.ncbi.nlm.nih.gov/pmc/articles/PMC5215058/</w:t>
              </w:r>
            </w:hyperlink>
          </w:p>
        </w:tc>
      </w:tr>
    </w:tbl>
    <w:p w14:paraId="52BB2F3D" w14:textId="77777777" w:rsidR="00E328FF" w:rsidRDefault="00E328FF" w:rsidP="00E328FF"/>
    <w:p w14:paraId="721020A8" w14:textId="77777777" w:rsidR="00D80E40" w:rsidRDefault="00D80E40" w:rsidP="00D80E40">
      <w:pPr>
        <w:pStyle w:val="Titolo3"/>
      </w:pPr>
      <w:bookmarkStart w:id="14" w:name="_Toc25938768"/>
      <w:r>
        <w:t>2.</w:t>
      </w:r>
      <w:r w:rsidR="008F21C1">
        <w:t>1.</w:t>
      </w:r>
      <w:r>
        <w:t>11 Grennhouse gas emissions</w:t>
      </w:r>
      <w:bookmarkEnd w:id="14"/>
      <w:r>
        <w:t xml:space="preserve"> </w:t>
      </w:r>
    </w:p>
    <w:p w14:paraId="6FC1C3A4" w14:textId="77777777" w:rsidR="00D80E40" w:rsidRDefault="00D80E40" w:rsidP="00D80E40">
      <w:r>
        <w:t>Il fattore misura la quantità totale di emissioni di gas serra relativamente ad ognuno degli stati dell’UE, in particolare sono compresi i gas:  Anidride Carbonica CO</w:t>
      </w:r>
      <w:r>
        <w:rPr>
          <w:vertAlign w:val="subscript"/>
        </w:rPr>
        <w:t xml:space="preserve">2 </w:t>
      </w:r>
      <w:r>
        <w:t>, Metano CH</w:t>
      </w:r>
      <w:r>
        <w:rPr>
          <w:vertAlign w:val="subscript"/>
        </w:rPr>
        <w:t xml:space="preserve">4  </w:t>
      </w:r>
      <w:r>
        <w:t>, Ossido di Azoto N</w:t>
      </w:r>
      <w:r>
        <w:rPr>
          <w:vertAlign w:val="subscript"/>
        </w:rPr>
        <w:t>2</w:t>
      </w:r>
      <w:r>
        <w:t>O</w:t>
      </w:r>
      <w:r w:rsidR="00575DDA">
        <w:t>,  Perfluorocarburi PFC, Idrofluorocarburi HFC, Esafluoruro di Zolfo SF</w:t>
      </w:r>
      <w:r w:rsidR="00575DDA">
        <w:rPr>
          <w:vertAlign w:val="subscript"/>
        </w:rPr>
        <w:t xml:space="preserve">6  </w:t>
      </w:r>
      <w:r w:rsidR="00575DDA">
        <w:t>e Trifluoruro di Azoto NF</w:t>
      </w:r>
      <w:r w:rsidR="00575DDA">
        <w:rPr>
          <w:vertAlign w:val="subscript"/>
        </w:rPr>
        <w:t xml:space="preserve">3 </w:t>
      </w:r>
      <w:r w:rsidR="00575DDA">
        <w:t>.</w:t>
      </w:r>
    </w:p>
    <w:tbl>
      <w:tblPr>
        <w:tblStyle w:val="Tabellasemplice-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790"/>
      </w:tblGrid>
      <w:tr w:rsidR="00575DDA" w14:paraId="2DE24DA8" w14:textId="77777777" w:rsidTr="00392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77B5918" w14:textId="77777777" w:rsidR="00575DDA" w:rsidRPr="00575DDA" w:rsidRDefault="00575DDA" w:rsidP="00392F0D">
            <w:r w:rsidRPr="00575DDA">
              <w:t xml:space="preserve">Settore </w:t>
            </w:r>
          </w:p>
        </w:tc>
        <w:tc>
          <w:tcPr>
            <w:tcW w:w="7790" w:type="dxa"/>
          </w:tcPr>
          <w:p w14:paraId="5215EAEC" w14:textId="77777777" w:rsidR="00575DDA" w:rsidRPr="00575DDA" w:rsidRDefault="00575DDA" w:rsidP="00392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75DDA">
              <w:rPr>
                <w:b w:val="0"/>
                <w:bCs w:val="0"/>
              </w:rPr>
              <w:t>Emissioni Gas Serra</w:t>
            </w:r>
          </w:p>
        </w:tc>
      </w:tr>
      <w:tr w:rsidR="00575DDA" w14:paraId="44A029D0" w14:textId="77777777" w:rsidTr="0039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C9EB6A" w14:textId="77777777" w:rsidR="00575DDA" w:rsidRPr="00575DDA" w:rsidRDefault="00575DDA" w:rsidP="00392F0D">
            <w:r w:rsidRPr="00575DDA">
              <w:t>Nome Fattore</w:t>
            </w:r>
          </w:p>
        </w:tc>
        <w:tc>
          <w:tcPr>
            <w:tcW w:w="7790" w:type="dxa"/>
          </w:tcPr>
          <w:p w14:paraId="265922FE" w14:textId="77777777" w:rsidR="00575DDA" w:rsidRPr="00575DDA" w:rsidRDefault="00575DDA" w:rsidP="00392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DDA">
              <w:t>GHG_emissions</w:t>
            </w:r>
          </w:p>
        </w:tc>
      </w:tr>
      <w:tr w:rsidR="00575DDA" w14:paraId="5CCA40FE" w14:textId="77777777" w:rsidTr="00392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70EB9A" w14:textId="77777777" w:rsidR="00575DDA" w:rsidRPr="00575DDA" w:rsidRDefault="00575DDA" w:rsidP="00392F0D">
            <w:r w:rsidRPr="00575DDA">
              <w:t>Unità di misura</w:t>
            </w:r>
          </w:p>
        </w:tc>
        <w:tc>
          <w:tcPr>
            <w:tcW w:w="7790" w:type="dxa"/>
          </w:tcPr>
          <w:p w14:paraId="3A0B4105" w14:textId="77777777" w:rsidR="00575DDA" w:rsidRPr="00575DDA" w:rsidRDefault="00575DDA" w:rsidP="00392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DDA">
              <w:t>Migliaia di tonnellate in CO</w:t>
            </w:r>
            <w:r w:rsidRPr="00575DDA">
              <w:rPr>
                <w:vertAlign w:val="subscript"/>
              </w:rPr>
              <w:t>2</w:t>
            </w:r>
            <w:r w:rsidRPr="00575DDA">
              <w:t xml:space="preserve"> equivalente.</w:t>
            </w:r>
          </w:p>
        </w:tc>
      </w:tr>
      <w:tr w:rsidR="00575DDA" w:rsidRPr="008633AA" w14:paraId="546EC8DD" w14:textId="77777777" w:rsidTr="00392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2C4ADB" w14:textId="77777777" w:rsidR="00575DDA" w:rsidRPr="00575DDA" w:rsidRDefault="00575DDA" w:rsidP="00392F0D">
            <w:r w:rsidRPr="00575DDA">
              <w:t>Fonte tabella</w:t>
            </w:r>
          </w:p>
        </w:tc>
        <w:tc>
          <w:tcPr>
            <w:tcW w:w="7790" w:type="dxa"/>
          </w:tcPr>
          <w:p w14:paraId="7C4093B0" w14:textId="77777777" w:rsidR="00575DDA" w:rsidRPr="00575DDA" w:rsidRDefault="00575DDA" w:rsidP="00392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5DDA">
              <w:rPr>
                <w:lang w:val="en-US"/>
              </w:rPr>
              <w:t xml:space="preserve">NCBI – National Center for Biotechnology Information </w:t>
            </w:r>
          </w:p>
        </w:tc>
      </w:tr>
      <w:tr w:rsidR="00575DDA" w14:paraId="02FF47C1" w14:textId="77777777" w:rsidTr="00392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1C9EED" w14:textId="77777777" w:rsidR="00575DDA" w:rsidRPr="00575DDA" w:rsidRDefault="00575DDA" w:rsidP="00392F0D">
            <w:r w:rsidRPr="00575DDA">
              <w:t xml:space="preserve">Link </w:t>
            </w:r>
          </w:p>
        </w:tc>
        <w:tc>
          <w:tcPr>
            <w:tcW w:w="7790" w:type="dxa"/>
          </w:tcPr>
          <w:p w14:paraId="1A09BF5E" w14:textId="77777777" w:rsidR="00575DDA" w:rsidRPr="00575DDA" w:rsidRDefault="00641C68" w:rsidP="00392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2540E8">
                <w:rPr>
                  <w:rStyle w:val="Collegamentoipertestuale"/>
                </w:rPr>
                <w:t>https://appsso.eurostat.ec.europa.eu/nui/show.do?dataset=env_air_gge&amp;lang=en</w:t>
              </w:r>
            </w:hyperlink>
          </w:p>
        </w:tc>
      </w:tr>
    </w:tbl>
    <w:p w14:paraId="167058FC" w14:textId="77777777" w:rsidR="001E24EF" w:rsidRDefault="001E24EF" w:rsidP="001E24EF"/>
    <w:p w14:paraId="6F1272EB" w14:textId="77777777" w:rsidR="00E8668A" w:rsidRPr="001E24EF" w:rsidRDefault="00E8668A" w:rsidP="001E24EF"/>
    <w:p w14:paraId="31CF9B21" w14:textId="77777777" w:rsidR="00BB52D9" w:rsidRDefault="001E24EF" w:rsidP="001E24EF">
      <w:pPr>
        <w:pStyle w:val="Titolo2"/>
      </w:pPr>
      <w:bookmarkStart w:id="15" w:name="_Toc25938769"/>
      <w:r>
        <w:t>2.2 Tabella ottenuta</w:t>
      </w:r>
      <w:bookmarkEnd w:id="15"/>
      <w:r>
        <w:t xml:space="preserve"> </w:t>
      </w:r>
    </w:p>
    <w:p w14:paraId="047F2146" w14:textId="77777777" w:rsidR="00D97987" w:rsidRDefault="00E63782" w:rsidP="002B3383">
      <w:r>
        <w:t>Mettendo insieme tutti i fattori di cui sopra si è ottenuta una tabella di 33 righe e 11 colonne: s</w:t>
      </w:r>
      <w:r w:rsidR="002B3383">
        <w:t xml:space="preserve">i riportano </w:t>
      </w:r>
      <w:r>
        <w:t xml:space="preserve">sotto </w:t>
      </w:r>
      <w:r w:rsidR="002B3383">
        <w:t>le prime righe</w:t>
      </w:r>
      <w:r>
        <w:t>.</w:t>
      </w:r>
    </w:p>
    <w:p w14:paraId="1C2C3D91" w14:textId="77777777" w:rsidR="00794D57" w:rsidRPr="002B3383" w:rsidRDefault="00794D57" w:rsidP="002B3383"/>
    <w:p w14:paraId="6842B3EC" w14:textId="77777777" w:rsidR="00D97987" w:rsidRDefault="007E4047" w:rsidP="00D062B8">
      <w:pPr>
        <w:ind w:left="-850"/>
      </w:pPr>
      <w:r>
        <w:rPr>
          <w:noProof/>
        </w:rPr>
        <w:drawing>
          <wp:inline distT="0" distB="0" distL="0" distR="0" wp14:anchorId="4E980A1D" wp14:editId="39C8DCC4">
            <wp:extent cx="7098869" cy="1874520"/>
            <wp:effectExtent l="57150" t="0" r="64135" b="1066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30288" cy="1882816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bg1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FD532D" w14:textId="77777777" w:rsidR="00145457" w:rsidRDefault="00145457" w:rsidP="000A1BDF"/>
    <w:p w14:paraId="4E6CDB82" w14:textId="77777777" w:rsidR="00145457" w:rsidRDefault="00145457" w:rsidP="000A1BDF"/>
    <w:p w14:paraId="412DF539" w14:textId="77777777" w:rsidR="00145457" w:rsidRDefault="00145457" w:rsidP="00145457">
      <w:pPr>
        <w:pStyle w:val="Titolo2"/>
      </w:pPr>
      <w:bookmarkStart w:id="16" w:name="_Toc25938770"/>
      <w:r>
        <w:lastRenderedPageBreak/>
        <w:t>2.2 Elaborazione della tabella</w:t>
      </w:r>
      <w:bookmarkEnd w:id="16"/>
    </w:p>
    <w:p w14:paraId="1B25743C" w14:textId="77777777" w:rsidR="000A1BDF" w:rsidRDefault="00D97987" w:rsidP="000A1BDF">
      <w:r>
        <w:t xml:space="preserve">La tabella necessita di alcune elaborazioni prima di poter essere utilizzata per condurre </w:t>
      </w:r>
      <w:r w:rsidR="00E63782">
        <w:t xml:space="preserve">l’analisi delle componenti principali: </w:t>
      </w:r>
    </w:p>
    <w:p w14:paraId="06E8E430" w14:textId="77777777" w:rsidR="00355DA9" w:rsidRDefault="00145457" w:rsidP="000A1BDF">
      <w:r>
        <w:rPr>
          <w:b/>
          <w:bCs/>
        </w:rPr>
        <w:t xml:space="preserve">Rimozione di alcune osservazioni: </w:t>
      </w:r>
      <w:r w:rsidR="00E63782">
        <w:t xml:space="preserve">Ci interessa condurre un’indagine esclusivamente sugli stati facenti parte dell’Unione Europea. </w:t>
      </w:r>
      <w:r w:rsidR="00355DA9">
        <w:t xml:space="preserve">Nella tabella sono presenti </w:t>
      </w:r>
      <w:r w:rsidR="00E63782">
        <w:t xml:space="preserve">anche </w:t>
      </w:r>
      <w:r w:rsidR="00355DA9">
        <w:t>righe relative a stati non membri dell’UE: Islanda, Norvegia, Svizzera e Turchia. Questi ultimi inoltre</w:t>
      </w:r>
      <w:r>
        <w:t>,</w:t>
      </w:r>
      <w:r w:rsidR="00355DA9">
        <w:t xml:space="preserve"> sono anche le </w:t>
      </w:r>
      <w:r w:rsidR="00200D6B">
        <w:t>osservazioni per cui è presente il maggior numero di valori NA.</w:t>
      </w:r>
      <w:r w:rsidR="00546757">
        <w:t xml:space="preserve"> </w:t>
      </w:r>
      <w:r w:rsidR="00200D6B">
        <w:t>Si è quindi deciso di rimuovere le corrispondenti righe</w:t>
      </w:r>
      <w:r w:rsidR="00E63782">
        <w:t>, riducendo in questo modo il numero di osservazioni da 33 a 28</w:t>
      </w:r>
      <w:r w:rsidR="00546757">
        <w:t>:</w:t>
      </w:r>
    </w:p>
    <w:p w14:paraId="2F86B65E" w14:textId="77777777" w:rsidR="00546757" w:rsidRPr="00546757" w:rsidRDefault="00546757" w:rsidP="00546757">
      <w:pPr>
        <w:rPr>
          <w:rFonts w:ascii="Courier New" w:hAnsi="Courier New" w:cs="Courier New"/>
          <w:color w:val="808080" w:themeColor="background1" w:themeShade="80"/>
        </w:rPr>
      </w:pPr>
      <w:r w:rsidRPr="00546757">
        <w:rPr>
          <w:rFonts w:ascii="Courier New" w:hAnsi="Courier New" w:cs="Courier New"/>
          <w:color w:val="808080" w:themeColor="background1" w:themeShade="80"/>
        </w:rPr>
        <w:t>&gt; Dataset = Dataset[-c(1,30,31,32,33),]</w:t>
      </w:r>
    </w:p>
    <w:p w14:paraId="5E0EFF13" w14:textId="77777777" w:rsidR="003331FB" w:rsidRDefault="00546757" w:rsidP="00355DA9">
      <w:r>
        <w:rPr>
          <w:b/>
          <w:bCs/>
        </w:rPr>
        <w:t xml:space="preserve">Standardizzazione della tabella: </w:t>
      </w:r>
      <w:r w:rsidR="00BD44BE">
        <w:t>Sappiamo che prima di procedere con l’analisi delle componenti principali è buona norma standardizzare sempre i dati. Nel nostro caso</w:t>
      </w:r>
      <w:r w:rsidR="00944E82">
        <w:t>,</w:t>
      </w:r>
      <w:r w:rsidR="00BD44BE">
        <w:t xml:space="preserve"> osserviamo che gli intervalli </w:t>
      </w:r>
      <w:r>
        <w:t>di variazione</w:t>
      </w:r>
      <w:r w:rsidR="00BD44BE">
        <w:t xml:space="preserve"> dei vari fattori sono piuttosto diversi: questo è vero sia se confrontiamo i dati orizzontalmente che verticalmente. </w:t>
      </w:r>
    </w:p>
    <w:p w14:paraId="005C6E52" w14:textId="77777777" w:rsidR="003331FB" w:rsidRDefault="00BD44BE" w:rsidP="00355DA9">
      <w:r>
        <w:t xml:space="preserve">Per comprendere la differenza dei valori lungo la dimensione verticale è necessario pensare alla granularità ed alla diversità degli individui della tabella costruita: </w:t>
      </w:r>
      <w:r w:rsidR="00944E82">
        <w:t xml:space="preserve">ciascuna osservazione corrisponde ad uno stato dell’Unione Europea. Ogni stato diverge dagli altri in dimensione, popolazione, caratteristiche territoriali e molto altro. La differenza dei valori lungo la dimensione orizzontale è invece dovuta alle diverse unità di misura dei fattori. </w:t>
      </w:r>
    </w:p>
    <w:p w14:paraId="75010146" w14:textId="77777777" w:rsidR="003331FB" w:rsidRDefault="00944E82" w:rsidP="00355DA9">
      <w:r>
        <w:t>Dunque, per evitare di tenere erroneamente conto delle relative importanze numeriche dei fattori, standardizziamo i dati in modo tale che ciascun fattore abbia media nulla e deviazione standard unitaria</w:t>
      </w:r>
      <w:r w:rsidR="00836781">
        <w:t xml:space="preserve"> (si è scelto di utilizzare la standardizzazione z-score).</w:t>
      </w:r>
    </w:p>
    <w:p w14:paraId="429AD131" w14:textId="77777777" w:rsidR="002F4ED2" w:rsidRDefault="003331FB" w:rsidP="00355DA9">
      <w:r>
        <w:t xml:space="preserve">Per standardizzare ed ottenere un risultato numerico è necessario omettere i valori NA nei calcoli di media e deviazione standard: lo facciamo specificando, nel codice, il valore True per l’apposito parametro previsto per le funzioni R che lavorano su oggetti di classe </w:t>
      </w:r>
      <w:proofErr w:type="spellStart"/>
      <w:r>
        <w:t>data.frame</w:t>
      </w:r>
      <w:proofErr w:type="spellEnd"/>
      <w:r w:rsidR="008B782E">
        <w:t xml:space="preserve">: </w:t>
      </w:r>
      <w:r>
        <w:t>na.rm = T</w:t>
      </w:r>
      <w:r w:rsidR="00075E8E">
        <w:t>.</w:t>
      </w:r>
    </w:p>
    <w:p w14:paraId="48582948" w14:textId="77777777" w:rsidR="002F4ED2" w:rsidRPr="003331FB" w:rsidRDefault="00546757" w:rsidP="00546757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3331FB">
        <w:rPr>
          <w:rFonts w:ascii="Courier New" w:hAnsi="Courier New" w:cs="Courier New"/>
          <w:color w:val="808080" w:themeColor="background1" w:themeShade="80"/>
          <w:sz w:val="20"/>
          <w:szCs w:val="20"/>
        </w:rPr>
        <w:t>&gt;  for(i in 1:11){</w:t>
      </w:r>
      <w:r w:rsidRPr="003331FB">
        <w:rPr>
          <w:rFonts w:ascii="Courier New" w:hAnsi="Courier New" w:cs="Courier New"/>
          <w:color w:val="808080" w:themeColor="background1" w:themeShade="80"/>
          <w:sz w:val="20"/>
          <w:szCs w:val="20"/>
        </w:rPr>
        <w:br/>
        <w:t>&gt;</w:t>
      </w:r>
      <w:r w:rsidR="003331FB" w:rsidRPr="003331FB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   </w:t>
      </w:r>
      <w:r w:rsidRPr="003331FB">
        <w:rPr>
          <w:rFonts w:ascii="Courier New" w:hAnsi="Courier New" w:cs="Courier New"/>
          <w:color w:val="808080" w:themeColor="background1" w:themeShade="80"/>
          <w:sz w:val="20"/>
          <w:szCs w:val="20"/>
        </w:rPr>
        <w:t>Dataset[,i]=(Dataset[,i]-mean(Dataset[,i])</w:t>
      </w:r>
      <w:r w:rsidR="003331FB" w:rsidRPr="003331FB">
        <w:rPr>
          <w:rFonts w:ascii="Courier New" w:hAnsi="Courier New" w:cs="Courier New"/>
          <w:color w:val="808080" w:themeColor="background1" w:themeShade="80"/>
          <w:sz w:val="20"/>
          <w:szCs w:val="20"/>
        </w:rPr>
        <w:t>,na.rm=T</w:t>
      </w:r>
      <w:r w:rsidRPr="003331FB">
        <w:rPr>
          <w:rFonts w:ascii="Courier New" w:hAnsi="Courier New" w:cs="Courier New"/>
          <w:color w:val="808080" w:themeColor="background1" w:themeShade="80"/>
          <w:sz w:val="20"/>
          <w:szCs w:val="20"/>
        </w:rPr>
        <w:t>)/sd(Dataset[,i]</w:t>
      </w:r>
      <w:r w:rsidR="003331FB" w:rsidRPr="003331FB">
        <w:rPr>
          <w:rFonts w:ascii="Courier New" w:hAnsi="Courier New" w:cs="Courier New"/>
          <w:color w:val="808080" w:themeColor="background1" w:themeShade="80"/>
          <w:sz w:val="20"/>
          <w:szCs w:val="20"/>
        </w:rPr>
        <w:t>,na.rm=T</w:t>
      </w:r>
      <w:r w:rsidRPr="003331FB">
        <w:rPr>
          <w:rFonts w:ascii="Courier New" w:hAnsi="Courier New" w:cs="Courier New"/>
          <w:color w:val="808080" w:themeColor="background1" w:themeShade="80"/>
          <w:sz w:val="20"/>
          <w:szCs w:val="20"/>
        </w:rPr>
        <w:t>)</w:t>
      </w:r>
      <w:r w:rsidRPr="003331FB">
        <w:rPr>
          <w:rFonts w:ascii="Courier New" w:hAnsi="Courier New" w:cs="Courier New"/>
          <w:color w:val="808080" w:themeColor="background1" w:themeShade="80"/>
          <w:sz w:val="20"/>
          <w:szCs w:val="20"/>
        </w:rPr>
        <w:br/>
        <w:t>&gt; }</w:t>
      </w:r>
    </w:p>
    <w:p w14:paraId="793478E2" w14:textId="77777777" w:rsidR="003331FB" w:rsidRDefault="003331FB" w:rsidP="003331FB">
      <w:r>
        <w:rPr>
          <w:b/>
          <w:bCs/>
        </w:rPr>
        <w:t xml:space="preserve">Rimozione valori NA: </w:t>
      </w:r>
      <w:r>
        <w:t xml:space="preserve">Sono presenti tra i dati </w:t>
      </w:r>
      <w:r w:rsidR="00075E8E">
        <w:t xml:space="preserve">alcuni </w:t>
      </w:r>
      <w:r w:rsidRPr="00355DA9">
        <w:rPr>
          <w:b/>
          <w:bCs/>
        </w:rPr>
        <w:t>valori NA</w:t>
      </w:r>
      <w:r w:rsidR="00E25DCD">
        <w:rPr>
          <w:b/>
          <w:bCs/>
        </w:rPr>
        <w:t xml:space="preserve">, </w:t>
      </w:r>
      <w:r w:rsidR="00E25DCD">
        <w:t>prima di poter procedere con l’effettiva analisi delle componenti principali è necessario rimuoverli. Per evitare di ridurre ulteriormente le dimensioni del dataset perdendo informazioni interessanti, si è scelto di rimpiazzare i valori NA con zeri.</w:t>
      </w:r>
    </w:p>
    <w:p w14:paraId="6D0E6C1C" w14:textId="77777777" w:rsidR="003331FB" w:rsidRDefault="003331FB" w:rsidP="003331FB">
      <w:pPr>
        <w:rPr>
          <w:rFonts w:ascii="Courier New" w:hAnsi="Courier New" w:cs="Courier New"/>
          <w:color w:val="808080" w:themeColor="background1" w:themeShade="80"/>
        </w:rPr>
      </w:pPr>
      <w:r w:rsidRPr="00546757">
        <w:rPr>
          <w:rFonts w:ascii="Courier New" w:hAnsi="Courier New" w:cs="Courier New"/>
          <w:color w:val="808080" w:themeColor="background1" w:themeShade="80"/>
        </w:rPr>
        <w:t>&gt; Dataset[is.na(Dataset)] &lt;- 0</w:t>
      </w:r>
    </w:p>
    <w:p w14:paraId="5D5671AB" w14:textId="77777777" w:rsidR="00D97987" w:rsidRDefault="008422FF" w:rsidP="00355DA9">
      <w:pPr>
        <w:rPr>
          <w:rFonts w:cstheme="minorHAnsi"/>
        </w:rPr>
      </w:pPr>
      <w:r>
        <w:rPr>
          <w:rFonts w:cstheme="minorHAnsi"/>
          <w:b/>
          <w:bCs/>
        </w:rPr>
        <w:t>La tabella finale</w:t>
      </w:r>
      <w:r>
        <w:rPr>
          <w:rFonts w:cstheme="minorHAnsi"/>
        </w:rPr>
        <w:t xml:space="preserve"> risulta quindi essere composta da 28 righe e 11 colonne: </w:t>
      </w:r>
    </w:p>
    <w:p w14:paraId="5853A4EE" w14:textId="77777777" w:rsidR="008422FF" w:rsidRDefault="008422FF" w:rsidP="00355DA9">
      <w:pPr>
        <w:rPr>
          <w:rFonts w:ascii="Courier New" w:hAnsi="Courier New" w:cs="Courier New"/>
          <w:color w:val="808080" w:themeColor="background1" w:themeShade="80"/>
        </w:rPr>
      </w:pPr>
      <w:r w:rsidRPr="008422FF">
        <w:rPr>
          <w:rFonts w:ascii="Courier New" w:hAnsi="Courier New" w:cs="Courier New"/>
          <w:color w:val="808080" w:themeColor="background1" w:themeShade="80"/>
        </w:rPr>
        <w:t>&gt; dim(Dataset)</w:t>
      </w:r>
      <w:r w:rsidRPr="008422FF">
        <w:rPr>
          <w:rFonts w:ascii="Courier New" w:hAnsi="Courier New" w:cs="Courier New"/>
          <w:color w:val="808080" w:themeColor="background1" w:themeShade="80"/>
        </w:rPr>
        <w:br/>
        <w:t>[1] 28 11</w:t>
      </w:r>
    </w:p>
    <w:p w14:paraId="1BEB2950" w14:textId="77777777" w:rsidR="00153246" w:rsidRDefault="00153246" w:rsidP="00E53611">
      <w:pPr>
        <w:pStyle w:val="Titolo3"/>
      </w:pPr>
    </w:p>
    <w:p w14:paraId="279C964A" w14:textId="77777777" w:rsidR="001A6B4F" w:rsidRDefault="001A6B4F" w:rsidP="007672D1"/>
    <w:p w14:paraId="3D3E5F83" w14:textId="77777777" w:rsidR="00A72988" w:rsidRDefault="00A72988" w:rsidP="007672D1">
      <w:pPr>
        <w:pStyle w:val="Titolo2"/>
      </w:pPr>
    </w:p>
    <w:p w14:paraId="1CE2FB22" w14:textId="77777777" w:rsidR="00A72988" w:rsidRDefault="00A72988" w:rsidP="007672D1">
      <w:pPr>
        <w:pStyle w:val="Titolo2"/>
      </w:pPr>
    </w:p>
    <w:p w14:paraId="4AC91953" w14:textId="77777777" w:rsidR="00A72988" w:rsidRPr="00A72988" w:rsidRDefault="00A72988" w:rsidP="00A72988"/>
    <w:p w14:paraId="1FDD540E" w14:textId="77777777" w:rsidR="007672D1" w:rsidRDefault="007672D1" w:rsidP="007672D1">
      <w:pPr>
        <w:pStyle w:val="Titolo2"/>
      </w:pPr>
      <w:bookmarkStart w:id="17" w:name="_Toc25938771"/>
      <w:r>
        <w:lastRenderedPageBreak/>
        <w:t>2.</w:t>
      </w:r>
      <w:r w:rsidR="00834E8C">
        <w:t>3</w:t>
      </w:r>
      <w:r>
        <w:t xml:space="preserve"> Visualizzazione dei dati</w:t>
      </w:r>
      <w:bookmarkEnd w:id="17"/>
    </w:p>
    <w:p w14:paraId="08EE5AD5" w14:textId="77777777" w:rsidR="00D1723F" w:rsidRPr="001A6B4F" w:rsidRDefault="003A53B9" w:rsidP="007672D1">
      <w:r>
        <w:t>Prima di procedere</w:t>
      </w:r>
      <w:r w:rsidR="00D1723F">
        <w:t xml:space="preserve"> con</w:t>
      </w:r>
      <w:r>
        <w:t xml:space="preserve"> l’analisi delle componenti principali, </w:t>
      </w:r>
      <w:r w:rsidR="00940AB2">
        <w:t>si visualizza</w:t>
      </w:r>
      <w:r>
        <w:t xml:space="preserve"> graficamente l’andamento dei dati</w:t>
      </w:r>
      <w:r w:rsidR="00940AB2">
        <w:t xml:space="preserve"> in modo tale da capirne meglio l’andamento.</w:t>
      </w:r>
    </w:p>
    <w:p w14:paraId="3B1F4444" w14:textId="77777777" w:rsidR="007672D1" w:rsidRPr="007672D1" w:rsidRDefault="003A53B9" w:rsidP="007672D1">
      <w:r>
        <w:rPr>
          <w:b/>
          <w:bCs/>
        </w:rPr>
        <w:t xml:space="preserve">Istogramma emissioni: </w:t>
      </w:r>
      <w:r w:rsidR="00CF3919">
        <w:t>Si co</w:t>
      </w:r>
      <w:r w:rsidR="0049133C">
        <w:t>s</w:t>
      </w:r>
      <w:r w:rsidR="00CF3919">
        <w:t>truisce</w:t>
      </w:r>
      <w:r w:rsidR="007672D1">
        <w:t xml:space="preserve"> un istogramma in cui </w:t>
      </w:r>
      <w:r w:rsidR="00CF3919">
        <w:t>si riporta</w:t>
      </w:r>
      <w:r w:rsidR="007672D1">
        <w:t xml:space="preserve">, </w:t>
      </w:r>
      <w:r>
        <w:t>ordinatamente in senso crescente</w:t>
      </w:r>
      <w:r w:rsidR="007672D1">
        <w:t xml:space="preserve">, la quantità di emissioni di gas serra registrata per ciascun paese. I dati non stupiscono: le nazioni per cui si registra un più alto valore di emissioni sono anche quelle più popolate. </w:t>
      </w:r>
    </w:p>
    <w:p w14:paraId="398AC8F5" w14:textId="77777777" w:rsidR="003A53B9" w:rsidRDefault="007672D1" w:rsidP="003A53B9">
      <w:pPr>
        <w:jc w:val="center"/>
      </w:pPr>
      <w:r>
        <w:rPr>
          <w:noProof/>
        </w:rPr>
        <w:drawing>
          <wp:inline distT="0" distB="0" distL="0" distR="0" wp14:anchorId="69CA2A0F" wp14:editId="0BBC8002">
            <wp:extent cx="6123940" cy="3728500"/>
            <wp:effectExtent l="0" t="0" r="0" b="571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72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3A32" w14:textId="77777777" w:rsidR="003A53B9" w:rsidRDefault="00A35CD3" w:rsidP="000B1614">
      <w:r>
        <w:rPr>
          <w:noProof/>
        </w:rPr>
        <w:drawing>
          <wp:anchor distT="0" distB="0" distL="114300" distR="114300" simplePos="0" relativeHeight="251658240" behindDoc="0" locked="0" layoutInCell="1" allowOverlap="1" wp14:anchorId="5987782F" wp14:editId="3D1A8A67">
            <wp:simplePos x="0" y="0"/>
            <wp:positionH relativeFrom="margin">
              <wp:posOffset>2381250</wp:posOffset>
            </wp:positionH>
            <wp:positionV relativeFrom="paragraph">
              <wp:posOffset>6350</wp:posOffset>
            </wp:positionV>
            <wp:extent cx="3642360" cy="3657600"/>
            <wp:effectExtent l="0" t="0" r="0" b="0"/>
            <wp:wrapSquare wrapText="bothSides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3B9">
        <w:rPr>
          <w:b/>
          <w:bCs/>
        </w:rPr>
        <w:t xml:space="preserve">Istogramma </w:t>
      </w:r>
      <w:r w:rsidR="001302B2">
        <w:rPr>
          <w:b/>
          <w:bCs/>
        </w:rPr>
        <w:t xml:space="preserve">delle </w:t>
      </w:r>
      <w:r w:rsidR="003A53B9">
        <w:rPr>
          <w:b/>
          <w:bCs/>
        </w:rPr>
        <w:t xml:space="preserve">correlazioni con fattore emissioni: </w:t>
      </w:r>
      <w:r w:rsidR="00942A3A">
        <w:t>si co</w:t>
      </w:r>
      <w:r w:rsidR="004D3CE0">
        <w:t>struisce</w:t>
      </w:r>
      <w:r w:rsidR="003A53B9">
        <w:t xml:space="preserve"> un istogramma  riport</w:t>
      </w:r>
      <w:r w:rsidR="004D3CE0">
        <w:t>ante sulle ascisse</w:t>
      </w:r>
      <w:r w:rsidR="003A53B9">
        <w:t xml:space="preserve"> i fattori della tabella, sulle ordinate, il valore di correlazione con il fattore relativo alle emissioni. In questo modo</w:t>
      </w:r>
      <w:r w:rsidR="007A63B6">
        <w:t xml:space="preserve"> si può avere immediatamente </w:t>
      </w:r>
      <w:r w:rsidR="003A53B9">
        <w:t xml:space="preserve">una prima idea di quali sono i fattori </w:t>
      </w:r>
      <w:r w:rsidR="0024523E">
        <w:t xml:space="preserve">che contribuiscono positivamente alle emissioni e quali quelli che in qualche modo le mitigano. Andando da destra verso sinistra, </w:t>
      </w:r>
      <w:r w:rsidR="00141CB3">
        <w:t>si nota</w:t>
      </w:r>
      <w:r w:rsidR="0024523E">
        <w:t xml:space="preserve"> che i fattori relativi ai settori “driver” delle emissioni </w:t>
      </w:r>
      <w:r w:rsidR="00793C58">
        <w:t>sono altamente correlati</w:t>
      </w:r>
      <w:r w:rsidR="00E128A5">
        <w:t xml:space="preserve"> con queste</w:t>
      </w:r>
      <w:r w:rsidR="00D367E0">
        <w:t>;</w:t>
      </w:r>
      <w:r w:rsidR="0024523E">
        <w:t xml:space="preserve"> segue poi il gruppo dei fattori relativo all’utilizzo di energia rinnovabile che, come intuitivamente </w:t>
      </w:r>
      <w:r w:rsidR="005E0DD9">
        <w:t>si potrebbe pensare</w:t>
      </w:r>
      <w:r w:rsidR="0024523E">
        <w:t xml:space="preserve">, risultano meno correlati. Infine, ci sono due fattori relativi alle aree verdi che </w:t>
      </w:r>
      <w:r w:rsidR="003C0917">
        <w:t>sono negativamente correlati</w:t>
      </w:r>
      <w:r w:rsidR="0024523E">
        <w:t xml:space="preserve"> con le emissioni.</w:t>
      </w:r>
    </w:p>
    <w:p w14:paraId="336145D0" w14:textId="77777777" w:rsidR="00342175" w:rsidRDefault="00342175" w:rsidP="00342175">
      <w:pPr>
        <w:pStyle w:val="Titolo1"/>
        <w:rPr>
          <w:sz w:val="40"/>
          <w:szCs w:val="40"/>
        </w:rPr>
      </w:pPr>
      <w:bookmarkStart w:id="18" w:name="_Toc25938772"/>
      <w:r w:rsidRPr="00342175">
        <w:rPr>
          <w:sz w:val="40"/>
          <w:szCs w:val="40"/>
        </w:rPr>
        <w:lastRenderedPageBreak/>
        <w:t>3. Analisi delle componenti principali</w:t>
      </w:r>
      <w:bookmarkEnd w:id="18"/>
      <w:r w:rsidRPr="00342175">
        <w:rPr>
          <w:sz w:val="40"/>
          <w:szCs w:val="40"/>
        </w:rPr>
        <w:t xml:space="preserve"> </w:t>
      </w:r>
    </w:p>
    <w:p w14:paraId="35C01880" w14:textId="77777777" w:rsidR="009C7AB9" w:rsidRDefault="00185B9F" w:rsidP="00135E7B">
      <w:r>
        <w:t xml:space="preserve">Nel caso di studio, eseguire l’analisi delle componenti principali è interessante: il numero di fattori è piuttosto alto rispetto al numero di osservazioni della tabella, </w:t>
      </w:r>
      <w:r w:rsidR="00E15123">
        <w:t xml:space="preserve">si vuole </w:t>
      </w:r>
      <w:r>
        <w:t xml:space="preserve">cercare di ottenere un modello più economico </w:t>
      </w:r>
      <w:r w:rsidR="00CB6ECE">
        <w:t>individuando</w:t>
      </w:r>
      <w:r>
        <w:t xml:space="preserve"> </w:t>
      </w:r>
      <w:r w:rsidR="007A45B5">
        <w:t xml:space="preserve">nuove variabili </w:t>
      </w:r>
      <w:r w:rsidR="008C6534">
        <w:t>attraverso le quali sia possibile</w:t>
      </w:r>
      <w:r w:rsidR="007A45B5">
        <w:t xml:space="preserve"> rappresentare i dati in maniera più sintetica. Quali sono i fattori che, combinati insieme, </w:t>
      </w:r>
      <w:r w:rsidR="00C16848">
        <w:t>catturano</w:t>
      </w:r>
      <w:r w:rsidR="007A45B5">
        <w:t xml:space="preserve"> la maggiore variabilità possibile?</w:t>
      </w:r>
    </w:p>
    <w:p w14:paraId="2578BB78" w14:textId="77777777" w:rsidR="009C7AB9" w:rsidRDefault="009C7AB9" w:rsidP="00135E7B">
      <w:r>
        <w:t xml:space="preserve">L’analisi consiste nell’individuare un nuovo punto di vista da cui osservare i dati, cercando di identificare le direzioni lungo le quali i dati variano maggiormente, in altri termini, si cerca un nuovo sistema di riferimento per catturare più varianza possibile con un numero ridotto di variabili. </w:t>
      </w:r>
    </w:p>
    <w:p w14:paraId="23BCC3AF" w14:textId="77777777" w:rsidR="00EA3E69" w:rsidRDefault="00EA3E69" w:rsidP="00135E7B">
      <w:r>
        <w:t xml:space="preserve">In particolare, interpretando i risultati che </w:t>
      </w:r>
      <w:r w:rsidR="00E31093">
        <w:t>saranno ottenuti</w:t>
      </w:r>
      <w:r>
        <w:t xml:space="preserve">, </w:t>
      </w:r>
      <w:r w:rsidR="001B0ADF">
        <w:t>sarà</w:t>
      </w:r>
      <w:r>
        <w:t xml:space="preserve"> interessa</w:t>
      </w:r>
      <w:r w:rsidR="001B0ADF">
        <w:t>nte</w:t>
      </w:r>
      <w:r>
        <w:t xml:space="preserve"> capire</w:t>
      </w:r>
      <w:r w:rsidR="00EC5EB2">
        <w:t xml:space="preserve"> quali sono</w:t>
      </w:r>
      <w:r>
        <w:t xml:space="preserve"> i ruoli giocati dai vari fattori relativamente alle quantità di emissioni (</w:t>
      </w:r>
      <w:r w:rsidR="00F07312">
        <w:t>si vorrebbe ottenere una</w:t>
      </w:r>
      <w:r>
        <w:t xml:space="preserve"> conferma rispetto a quanto osservato visivamente nel capitolo precedente).</w:t>
      </w:r>
    </w:p>
    <w:p w14:paraId="1BABE94B" w14:textId="77777777" w:rsidR="00E94EFE" w:rsidRPr="00756838" w:rsidRDefault="00355575" w:rsidP="00135E7B">
      <w:r>
        <w:rPr>
          <w:b/>
          <w:bCs/>
        </w:rPr>
        <w:t xml:space="preserve">PCA. </w:t>
      </w:r>
      <w:r w:rsidR="007B6AD6">
        <w:t>Si procede</w:t>
      </w:r>
      <w:r w:rsidR="00E94EFE">
        <w:t xml:space="preserve"> con l’</w:t>
      </w:r>
      <w:r w:rsidR="00455788">
        <w:t xml:space="preserve">effettiva </w:t>
      </w:r>
      <w:r w:rsidR="00E94EFE">
        <w:t xml:space="preserve">analisi e </w:t>
      </w:r>
      <w:r w:rsidR="001F671F">
        <w:t>si valutano</w:t>
      </w:r>
      <w:r w:rsidR="00E94EFE">
        <w:t xml:space="preserve"> i risultati </w:t>
      </w:r>
      <w:r w:rsidR="00DB6DB1">
        <w:t>ottenuti</w:t>
      </w:r>
      <w:r w:rsidR="00E94EFE">
        <w:t xml:space="preserve">: </w:t>
      </w:r>
    </w:p>
    <w:p w14:paraId="2D21981F" w14:textId="77777777" w:rsidR="00E94EFE" w:rsidRPr="00E94EFE" w:rsidRDefault="00E94EFE" w:rsidP="00E94EFE">
      <w:pPr>
        <w:jc w:val="center"/>
        <w:rPr>
          <w:rFonts w:ascii="Courier New" w:hAnsi="Courier New" w:cs="Courier New"/>
          <w:color w:val="808080" w:themeColor="background1" w:themeShade="80"/>
          <w:lang w:val="en-US"/>
        </w:rPr>
      </w:pPr>
      <w:r>
        <w:rPr>
          <w:noProof/>
        </w:rPr>
        <w:drawing>
          <wp:inline distT="0" distB="0" distL="0" distR="0" wp14:anchorId="3E3C5767" wp14:editId="2BF1D6EC">
            <wp:extent cx="5288280" cy="688607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983" cy="69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A7BD" w14:textId="77777777" w:rsidR="00E94EFE" w:rsidRPr="00E94EFE" w:rsidRDefault="00E94EFE" w:rsidP="00E94EF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CEE0AA" wp14:editId="568DDE28">
            <wp:extent cx="5308596" cy="609600"/>
            <wp:effectExtent l="0" t="0" r="6985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1218" cy="6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ECA1" w14:textId="77777777" w:rsidR="00392F0D" w:rsidRDefault="00EA3E69" w:rsidP="00135E7B">
      <w:r>
        <w:rPr>
          <w:b/>
          <w:bCs/>
        </w:rPr>
        <w:t xml:space="preserve">Osservazioni: </w:t>
      </w:r>
      <w:r w:rsidR="009B0BF2">
        <w:t>si nota</w:t>
      </w:r>
      <w:r>
        <w:t xml:space="preserve"> che la prima componente cattura da sola il 63% della varianza, mentre con le prime componenti </w:t>
      </w:r>
      <w:r w:rsidR="005C5074">
        <w:t>si supera</w:t>
      </w:r>
      <w:r>
        <w:t xml:space="preserve"> l’80% della varianza dei dati. </w:t>
      </w:r>
      <w:r w:rsidR="00F1147A">
        <w:t xml:space="preserve">Con le prime quattro componenti principali </w:t>
      </w:r>
      <w:r w:rsidR="00ED7933">
        <w:t>si raggiunge</w:t>
      </w:r>
      <w:r w:rsidR="00F1147A">
        <w:t xml:space="preserve"> il 90% di varianza spiegata cumulata. </w:t>
      </w:r>
      <w:r>
        <w:t xml:space="preserve">Il risultato è </w:t>
      </w:r>
      <w:r w:rsidR="00F1147A">
        <w:t>buono</w:t>
      </w:r>
      <w:r>
        <w:t xml:space="preserve">: </w:t>
      </w:r>
      <w:r w:rsidR="00C21A47">
        <w:t>è possibile</w:t>
      </w:r>
      <w:r w:rsidR="00F1147A">
        <w:t xml:space="preserve"> spiegare il modello con un numero ridotto di variabili senza perdere molta informazione originale.</w:t>
      </w:r>
    </w:p>
    <w:p w14:paraId="71D2B6C6" w14:textId="77777777" w:rsidR="005842C7" w:rsidRPr="00756838" w:rsidRDefault="00EE3F84" w:rsidP="00135E7B">
      <w:r>
        <w:t>Si vede</w:t>
      </w:r>
      <w:r w:rsidR="005842C7">
        <w:t xml:space="preserve"> </w:t>
      </w:r>
      <w:r w:rsidR="00392F0D">
        <w:t xml:space="preserve">anche </w:t>
      </w:r>
      <w:r w:rsidR="005842C7">
        <w:t>graficamente l</w:t>
      </w:r>
      <w:r w:rsidR="00392F0D">
        <w:t>a</w:t>
      </w:r>
      <w:r w:rsidR="005842C7">
        <w:t xml:space="preserve"> proporzion</w:t>
      </w:r>
      <w:r w:rsidR="00392F0D">
        <w:t>e</w:t>
      </w:r>
      <w:r w:rsidR="005842C7">
        <w:t xml:space="preserve"> di varianza</w:t>
      </w:r>
      <w:r w:rsidR="00392F0D">
        <w:t xml:space="preserve"> spiegata</w:t>
      </w:r>
      <w:r w:rsidR="005842C7">
        <w:t xml:space="preserve"> catturata da ciascuna componente principale</w:t>
      </w:r>
      <w:r w:rsidR="003A4F36">
        <w:t xml:space="preserve"> con l’</w:t>
      </w:r>
      <w:r w:rsidR="003A4F36">
        <w:rPr>
          <w:b/>
          <w:bCs/>
        </w:rPr>
        <w:t>istogramma delle varianze</w:t>
      </w:r>
      <w:r w:rsidR="00271645">
        <w:rPr>
          <w:b/>
          <w:bCs/>
        </w:rPr>
        <w:t xml:space="preserve"> catturate</w:t>
      </w:r>
      <w:r w:rsidR="00915A49">
        <w:rPr>
          <w:b/>
          <w:bCs/>
        </w:rPr>
        <w:t xml:space="preserve">. </w:t>
      </w:r>
      <w:r w:rsidR="00BC2F74">
        <w:t>Le ascisse riportano</w:t>
      </w:r>
      <w:r w:rsidR="00915A49">
        <w:t xml:space="preserve"> le varie componenti principali orinate in senso decrescente per quantità di varianza portata, </w:t>
      </w:r>
      <w:r w:rsidR="00071E9A">
        <w:t>le ordinate</w:t>
      </w:r>
      <w:r w:rsidR="00915A49">
        <w:t xml:space="preserve"> la % di varianza</w:t>
      </w:r>
      <w:r w:rsidR="00123046">
        <w:t xml:space="preserve"> catturata</w:t>
      </w:r>
      <w:r w:rsidR="00915A49">
        <w:t>.</w:t>
      </w:r>
    </w:p>
    <w:p w14:paraId="3BBAC569" w14:textId="77777777" w:rsidR="00185B9F" w:rsidRDefault="005842C7" w:rsidP="00915A49">
      <w:pPr>
        <w:jc w:val="center"/>
      </w:pPr>
      <w:r>
        <w:rPr>
          <w:noProof/>
        </w:rPr>
        <w:drawing>
          <wp:inline distT="0" distB="0" distL="0" distR="0" wp14:anchorId="1B907CE0" wp14:editId="111356C6">
            <wp:extent cx="5900686" cy="2766060"/>
            <wp:effectExtent l="0" t="0" r="508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2503" cy="2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342D" w14:textId="77777777" w:rsidR="00647F03" w:rsidRDefault="00647F03" w:rsidP="00135E7B"/>
    <w:p w14:paraId="78C24C74" w14:textId="77777777" w:rsidR="00392F0D" w:rsidRDefault="00586F52" w:rsidP="00135E7B">
      <w:r>
        <w:lastRenderedPageBreak/>
        <w:t>Si traccia</w:t>
      </w:r>
      <w:r w:rsidR="00392F0D">
        <w:t xml:space="preserve"> anche un grafico in cui </w:t>
      </w:r>
      <w:r w:rsidR="00F25276">
        <w:t>si valuta</w:t>
      </w:r>
      <w:r w:rsidR="00392F0D">
        <w:t xml:space="preserve"> l’andamento della </w:t>
      </w:r>
      <w:r w:rsidR="00392F0D" w:rsidRPr="003A4F36">
        <w:rPr>
          <w:b/>
          <w:bCs/>
        </w:rPr>
        <w:t>varianza spiegata cumulativa</w:t>
      </w:r>
      <w:r w:rsidR="00392F0D">
        <w:t xml:space="preserve">: </w:t>
      </w:r>
      <w:r w:rsidR="008A57D5">
        <w:t>si traccia</w:t>
      </w:r>
      <w:r w:rsidR="00392F0D">
        <w:t xml:space="preserve"> un</w:t>
      </w:r>
      <w:r w:rsidR="00441C76">
        <w:t xml:space="preserve"> segmento</w:t>
      </w:r>
      <w:r w:rsidR="00392F0D">
        <w:t xml:space="preserve"> in corrispondenza dell’80% di varianza</w:t>
      </w:r>
      <w:r w:rsidR="009F189D">
        <w:t xml:space="preserve"> per valutare visivamente quando viene superata</w:t>
      </w:r>
      <w:r w:rsidR="007332C6">
        <w:t>, come si è visto bastano le prime tre componenti principali.</w:t>
      </w:r>
    </w:p>
    <w:p w14:paraId="50FC017D" w14:textId="77777777" w:rsidR="00392F0D" w:rsidRDefault="00392F0D" w:rsidP="00392F0D">
      <w:pPr>
        <w:jc w:val="center"/>
      </w:pPr>
      <w:r>
        <w:rPr>
          <w:noProof/>
        </w:rPr>
        <w:drawing>
          <wp:inline distT="0" distB="0" distL="0" distR="0" wp14:anchorId="2DF4A2A7" wp14:editId="1D10A767">
            <wp:extent cx="4381500" cy="2265760"/>
            <wp:effectExtent l="0" t="0" r="0" b="127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3830" cy="2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0248" w14:textId="77777777" w:rsidR="00355575" w:rsidRPr="00355575" w:rsidRDefault="00355575" w:rsidP="00355575">
      <w:r>
        <w:rPr>
          <w:b/>
          <w:bCs/>
        </w:rPr>
        <w:t>Piano principale:</w:t>
      </w:r>
      <w:r>
        <w:t xml:space="preserve"> </w:t>
      </w:r>
      <w:r w:rsidR="0034464B">
        <w:t>si passa</w:t>
      </w:r>
      <w:r>
        <w:t xml:space="preserve"> quindi ad analizzare il piano principale. </w:t>
      </w:r>
      <w:r w:rsidR="00BA0D11">
        <w:t>Lo</w:t>
      </w:r>
      <w:r>
        <w:t xml:space="preserve"> scopo adesso è quello di cercare di dare un’interpretazione del significato delle componenti principali che catturano più varianza a seconda </w:t>
      </w:r>
      <w:r w:rsidR="009D00D3">
        <w:t>di come si dispongono</w:t>
      </w:r>
      <w:r>
        <w:t xml:space="preserve"> </w:t>
      </w:r>
      <w:r w:rsidR="009D00D3">
        <w:t>i</w:t>
      </w:r>
      <w:r>
        <w:t xml:space="preserve"> fattori originali nel piano. </w:t>
      </w:r>
      <w:r w:rsidR="00D400FF">
        <w:t>Una volta interpretato il significato delle componenti</w:t>
      </w:r>
      <w:r w:rsidR="00363770">
        <w:t>,</w:t>
      </w:r>
      <w:r w:rsidR="00D400FF">
        <w:t xml:space="preserve"> </w:t>
      </w:r>
      <w:r w:rsidR="00B00471">
        <w:t>s</w:t>
      </w:r>
      <w:r w:rsidR="00061E96">
        <w:t>arà interessante</w:t>
      </w:r>
      <w:r w:rsidR="00D400FF">
        <w:t xml:space="preserve"> v</w:t>
      </w:r>
      <w:r w:rsidR="00B00471">
        <w:t>alutare</w:t>
      </w:r>
      <w:r w:rsidR="00D400FF">
        <w:t xml:space="preserve"> </w:t>
      </w:r>
      <w:r w:rsidR="00E47349">
        <w:t>il posizionamento</w:t>
      </w:r>
      <w:r w:rsidR="00D400FF">
        <w:t xml:space="preserve"> </w:t>
      </w:r>
      <w:r w:rsidR="00E47349">
        <w:t>de</w:t>
      </w:r>
      <w:r w:rsidR="00D400FF">
        <w:t xml:space="preserve">gli individui </w:t>
      </w:r>
      <w:r w:rsidR="00E47349">
        <w:t xml:space="preserve">sul piano principale </w:t>
      </w:r>
      <w:r w:rsidR="00D400FF">
        <w:t>alla luce di questo.</w:t>
      </w:r>
    </w:p>
    <w:p w14:paraId="09AE7740" w14:textId="77777777" w:rsidR="003A4F36" w:rsidRDefault="0048766C" w:rsidP="0048766C">
      <w:pPr>
        <w:jc w:val="center"/>
      </w:pPr>
      <w:r>
        <w:rPr>
          <w:noProof/>
        </w:rPr>
        <w:drawing>
          <wp:inline distT="0" distB="0" distL="0" distR="0" wp14:anchorId="22F2DFE1" wp14:editId="5A837CD3">
            <wp:extent cx="5151120" cy="5151120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85BB" w14:textId="77777777" w:rsidR="00506AA0" w:rsidRDefault="00355575" w:rsidP="00355575">
      <w:r>
        <w:lastRenderedPageBreak/>
        <w:t>Ciascuna freccia rossa corrisponde ad uno degli 11 fattori originali della tabella: analizzando come ogni freccia è orientata nel piano</w:t>
      </w:r>
      <w:r w:rsidR="00D400FF">
        <w:t xml:space="preserve">, </w:t>
      </w:r>
      <w:r w:rsidR="00051480">
        <w:t xml:space="preserve">si </w:t>
      </w:r>
      <w:r w:rsidR="00544FDD">
        <w:t>valuta</w:t>
      </w:r>
      <w:r>
        <w:t xml:space="preserve"> se il corrispondente fattore entra </w:t>
      </w:r>
      <w:r w:rsidR="00D400FF">
        <w:t xml:space="preserve">maggiormente in una componente o in un’altra. </w:t>
      </w:r>
    </w:p>
    <w:p w14:paraId="7214023D" w14:textId="77777777" w:rsidR="00506AA0" w:rsidRDefault="00506AA0" w:rsidP="00355575">
      <w:r>
        <w:rPr>
          <w:b/>
          <w:bCs/>
        </w:rPr>
        <w:t xml:space="preserve">Osservazioni: </w:t>
      </w:r>
      <w:r w:rsidR="00ED76FA">
        <w:t xml:space="preserve">si </w:t>
      </w:r>
      <w:r w:rsidR="00916F54">
        <w:t>notano</w:t>
      </w:r>
      <w:r>
        <w:t xml:space="preserve"> tr</w:t>
      </w:r>
      <w:r w:rsidR="00671AAF">
        <w:t>e raggruppamenti</w:t>
      </w:r>
      <w:r>
        <w:t xml:space="preserve"> di f</w:t>
      </w:r>
      <w:r w:rsidR="00B71C58">
        <w:t>attori</w:t>
      </w:r>
      <w:r>
        <w:t xml:space="preserve">. </w:t>
      </w:r>
      <w:r w:rsidR="00070036">
        <w:t>Andando d</w:t>
      </w:r>
      <w:r>
        <w:t xml:space="preserve">a destra verso sinistra, </w:t>
      </w:r>
      <w:r w:rsidR="00E140E0">
        <w:t xml:space="preserve">procedendo </w:t>
      </w:r>
      <w:r>
        <w:t>in senso orario</w:t>
      </w:r>
      <w:r w:rsidR="00BA4C5A">
        <w:t xml:space="preserve">, si </w:t>
      </w:r>
      <w:r w:rsidR="00030302">
        <w:t>incontra</w:t>
      </w:r>
      <w:r>
        <w:t xml:space="preserve">: </w:t>
      </w:r>
    </w:p>
    <w:p w14:paraId="04A6DDEB" w14:textId="77777777" w:rsidR="00506AA0" w:rsidRDefault="00506AA0" w:rsidP="00355575">
      <w:r w:rsidRPr="00336A9D">
        <w:rPr>
          <w:b/>
          <w:bCs/>
        </w:rPr>
        <w:t>Il primo gruppo</w:t>
      </w:r>
      <w:r>
        <w:t xml:space="preserve"> che è quello più numeroso: le frecce appaiono più o meno inter-allineate e sembrano anche essere tutte abbastanza allineate con la prima componente principale, dunque contribuiscono tutte all’interpretazione d</w:t>
      </w:r>
      <w:r w:rsidR="004556B2">
        <w:t>i quest’ultima.</w:t>
      </w:r>
      <w:r w:rsidR="008C1192">
        <w:t xml:space="preserve"> Si va</w:t>
      </w:r>
      <w:r w:rsidR="007E058B">
        <w:t xml:space="preserve"> quindi a vederle più da vicino: </w:t>
      </w:r>
    </w:p>
    <w:p w14:paraId="109C2850" w14:textId="77777777" w:rsidR="002B0EBB" w:rsidRDefault="002B0EBB" w:rsidP="002B0EBB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1588C70" wp14:editId="3D1059BD">
            <wp:simplePos x="0" y="0"/>
            <wp:positionH relativeFrom="margin">
              <wp:align>left</wp:align>
            </wp:positionH>
            <wp:positionV relativeFrom="paragraph">
              <wp:posOffset>100619</wp:posOffset>
            </wp:positionV>
            <wp:extent cx="3724275" cy="3733800"/>
            <wp:effectExtent l="0" t="0" r="9525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3316B" w14:textId="77777777" w:rsidR="00E226E3" w:rsidRDefault="00F364FD" w:rsidP="002B0EBB">
      <w:pPr>
        <w:rPr>
          <w:noProof/>
        </w:rPr>
      </w:pPr>
      <w:r>
        <w:t>Si nota</w:t>
      </w:r>
      <w:r w:rsidR="0070430B">
        <w:t xml:space="preserve"> che la freccia rappresenta</w:t>
      </w:r>
      <w:r w:rsidR="008663B7">
        <w:t>n</w:t>
      </w:r>
      <w:r w:rsidR="0070430B">
        <w:t xml:space="preserve">te il fattore delle emissioni è abbastanza allineata con la direzione della prima componente principale, le altre frecce del gruppo sono quelle relative ai fattori che risultavano più correlati alle emissioni nell’istogramma delle correlazioni. </w:t>
      </w:r>
      <w:r w:rsidR="00C54505">
        <w:t xml:space="preserve">Analizziamo questi ultimi più dettagliatamente raggruppandoli per settore: </w:t>
      </w:r>
    </w:p>
    <w:p w14:paraId="484BC417" w14:textId="77777777" w:rsidR="00C54505" w:rsidRDefault="00E25A07" w:rsidP="002B4522">
      <w:r>
        <w:rPr>
          <w:b/>
          <w:bCs/>
        </w:rPr>
        <w:t>A</w:t>
      </w:r>
      <w:r w:rsidR="00C54505">
        <w:rPr>
          <w:b/>
          <w:bCs/>
        </w:rPr>
        <w:t>gricoltura</w:t>
      </w:r>
      <w:r w:rsidR="00C54505">
        <w:t>: i due fattori sono “</w:t>
      </w:r>
      <w:proofErr w:type="spellStart"/>
      <w:r w:rsidR="00C54505">
        <w:t>BA_living</w:t>
      </w:r>
      <w:proofErr w:type="spellEnd"/>
      <w:r w:rsidR="00C54505">
        <w:t>” e “</w:t>
      </w:r>
      <w:proofErr w:type="spellStart"/>
      <w:r w:rsidR="00C54505">
        <w:t>AA_utilized</w:t>
      </w:r>
      <w:proofErr w:type="spellEnd"/>
      <w:r w:rsidR="00C54505">
        <w:t>”. Spostandoci nella direzione puntata dalle due frecce troviamo i paesi caratterizzati da un utilizzo più intenso dell’agricoltura.</w:t>
      </w:r>
      <w:r>
        <w:t xml:space="preserve"> L’agricoltura contribuisce significativamente alla produzione dei gas serra mondiali, principalmente per l’uso dei fertilizzanti: in particolare questo settore è uno dei principali responsabili delle emissioni di metano (allevamenti e fertilizzanti organici).</w:t>
      </w:r>
    </w:p>
    <w:p w14:paraId="1DAE879D" w14:textId="77777777" w:rsidR="00E25A07" w:rsidRDefault="00E25A07" w:rsidP="002B4522">
      <w:r>
        <w:rPr>
          <w:b/>
          <w:bCs/>
        </w:rPr>
        <w:t>Trasporti</w:t>
      </w:r>
      <w:r>
        <w:t>: i due fattori “</w:t>
      </w:r>
      <w:proofErr w:type="spellStart"/>
      <w:r>
        <w:t>GR_trasported</w:t>
      </w:r>
      <w:proofErr w:type="spellEnd"/>
      <w:r>
        <w:t>” e “</w:t>
      </w:r>
      <w:proofErr w:type="spellStart"/>
      <w:r>
        <w:t>AP_transported</w:t>
      </w:r>
      <w:proofErr w:type="spellEnd"/>
      <w:r>
        <w:t xml:space="preserve">”, sono uno relativo a trasporti a terra e uno relativo ai trasporti aerei. </w:t>
      </w:r>
      <w:r w:rsidR="00004ECD">
        <w:t xml:space="preserve">Spostandoci verso destra, troviamo quei paesi per cui </w:t>
      </w:r>
      <w:r w:rsidR="00B412AA">
        <w:t>si ha un trasporto di merci e passeggeri più ingente</w:t>
      </w:r>
      <w:r w:rsidR="00CA6B3B">
        <w:t>. Il settore dei trasporti è responsabile per una significativa percentuale di emissioni di CO</w:t>
      </w:r>
      <w:r w:rsidR="00CA6B3B">
        <w:rPr>
          <w:vertAlign w:val="subscript"/>
        </w:rPr>
        <w:t xml:space="preserve">2 </w:t>
      </w:r>
      <w:r w:rsidR="00CA6B3B">
        <w:t>da combustione di carburanti.</w:t>
      </w:r>
    </w:p>
    <w:p w14:paraId="4B956308" w14:textId="77777777" w:rsidR="002B0EBB" w:rsidRPr="00CA6B3B" w:rsidRDefault="002B0EBB" w:rsidP="002B4522">
      <w:r>
        <w:rPr>
          <w:b/>
          <w:bCs/>
        </w:rPr>
        <w:t>Rifiuti</w:t>
      </w:r>
      <w:r>
        <w:t>:</w:t>
      </w:r>
      <w:r w:rsidR="000209B7">
        <w:t xml:space="preserve"> il fattore “</w:t>
      </w:r>
      <w:proofErr w:type="spellStart"/>
      <w:r w:rsidR="000209B7">
        <w:t>TW_generated</w:t>
      </w:r>
      <w:proofErr w:type="spellEnd"/>
      <w:r w:rsidR="000209B7">
        <w:t>” misura la quantità totale di rifiuti generata in ogni paese, spostandoci verso destra troviamo i paesi che ne producono una grande quantità. Il metano rilasciato dalla decomposizione dei rifiuti biodegradabili nelle discariche costituisce circa un terzo del totale</w:t>
      </w:r>
      <w:r w:rsidR="002014F4">
        <w:t>.</w:t>
      </w:r>
    </w:p>
    <w:p w14:paraId="3D05114F" w14:textId="77777777" w:rsidR="002B4522" w:rsidRDefault="006269F9" w:rsidP="002B4522">
      <w:r w:rsidRPr="002346D7">
        <w:rPr>
          <w:b/>
          <w:bCs/>
        </w:rPr>
        <w:t>La prima componente</w:t>
      </w:r>
      <w:r>
        <w:t xml:space="preserve"> </w:t>
      </w:r>
      <w:r w:rsidR="002346D7">
        <w:rPr>
          <w:b/>
          <w:bCs/>
        </w:rPr>
        <w:t xml:space="preserve">principale </w:t>
      </w:r>
      <w:r>
        <w:t xml:space="preserve">ha </w:t>
      </w:r>
      <w:r w:rsidR="00A70585">
        <w:t>du</w:t>
      </w:r>
      <w:r w:rsidR="00600599">
        <w:t xml:space="preserve">nque </w:t>
      </w:r>
      <w:r>
        <w:t xml:space="preserve">contributo da tutti i fattori che </w:t>
      </w:r>
      <w:r w:rsidR="00132DD6">
        <w:t>giocano un ruolo</w:t>
      </w:r>
      <w:r>
        <w:t xml:space="preserve"> sostanzial</w:t>
      </w:r>
      <w:r w:rsidR="00132DD6">
        <w:t>e e negativo nel determinare la quantità di</w:t>
      </w:r>
      <w:r>
        <w:t xml:space="preserve"> emissioni: </w:t>
      </w:r>
      <w:r w:rsidR="004C2518">
        <w:t>è possibile</w:t>
      </w:r>
      <w:r w:rsidR="00F462C4">
        <w:t xml:space="preserve"> interpretarla come un indice che riassume </w:t>
      </w:r>
      <w:r w:rsidR="00BF1896">
        <w:t xml:space="preserve">i principali driver del cambiamento climatico in termini di aumento di gas serra. </w:t>
      </w:r>
      <w:r w:rsidR="007F51D4">
        <w:t>In questo contesto il verso positivo della componente è da sinistra a destra: spostando</w:t>
      </w:r>
      <w:r w:rsidR="00BF3E80">
        <w:t>si</w:t>
      </w:r>
      <w:r w:rsidR="007F51D4">
        <w:t xml:space="preserve"> lungo questa direzione sul piano principale </w:t>
      </w:r>
      <w:r w:rsidR="00ED7DE2">
        <w:t>si va</w:t>
      </w:r>
      <w:r w:rsidR="007F51D4">
        <w:t xml:space="preserve"> verso i paesi </w:t>
      </w:r>
      <w:r w:rsidR="00BD0A4A">
        <w:t>per cui si registra una quantità inferiore di emissioni</w:t>
      </w:r>
      <w:r w:rsidR="007B1931">
        <w:t>.</w:t>
      </w:r>
      <w:r w:rsidR="007F51D4">
        <w:t xml:space="preserve"> </w:t>
      </w:r>
    </w:p>
    <w:p w14:paraId="0675D0A8" w14:textId="77777777" w:rsidR="00836F8E" w:rsidRDefault="00836F8E" w:rsidP="002B4522">
      <w:pPr>
        <w:rPr>
          <w:b/>
          <w:bCs/>
        </w:rPr>
      </w:pPr>
    </w:p>
    <w:p w14:paraId="70D25F0C" w14:textId="77777777" w:rsidR="00336A9D" w:rsidRDefault="00336A9D" w:rsidP="002B4522">
      <w:r>
        <w:rPr>
          <w:b/>
          <w:bCs/>
        </w:rPr>
        <w:lastRenderedPageBreak/>
        <w:t>Il secondo gruppo</w:t>
      </w:r>
      <w:r>
        <w:t xml:space="preserve"> di frecce è costituito dai fattori relativi al settore dell’utilizzo di energia rinnovabile. Una freccia corrisponde al fattore che esprime la quantità di energia solare consumata</w:t>
      </w:r>
      <w:r w:rsidR="00757141">
        <w:t xml:space="preserve"> in un paese</w:t>
      </w:r>
      <w:r>
        <w:t xml:space="preserve">, l’altra è relativa al fattore che misura la capacità di produzione di energia da fonti rinnovabili. Come intuitivamente ci </w:t>
      </w:r>
      <w:r w:rsidR="00094AB9">
        <w:t>si aspetterebbe</w:t>
      </w:r>
      <w:r>
        <w:t xml:space="preserve"> e come </w:t>
      </w:r>
      <w:r w:rsidR="0084396F">
        <w:t>si è</w:t>
      </w:r>
      <w:r>
        <w:t xml:space="preserve"> visto osservando l’istogramma delle correlazioni, questi fattori contribuiscono </w:t>
      </w:r>
      <w:r w:rsidR="00074F71">
        <w:t>in misura molto inferiore</w:t>
      </w:r>
      <w:r>
        <w:t xml:space="preserve"> all’aumento delle emissioni di gas serra. Questo gruppo di fattori sembra dare contributo ad ambedue le componenti principali. </w:t>
      </w:r>
    </w:p>
    <w:p w14:paraId="51953B08" w14:textId="77777777" w:rsidR="00336A9D" w:rsidRPr="002346D7" w:rsidRDefault="00336A9D" w:rsidP="002B4522">
      <w:r>
        <w:rPr>
          <w:b/>
          <w:bCs/>
        </w:rPr>
        <w:t>Il terzo gruppo</w:t>
      </w:r>
      <w:r>
        <w:t xml:space="preserve"> è disposto circa ortogonalmente rispetto al primo e le frecce che ne fanno parte sono allineate tra loro e con la seconda componente principale</w:t>
      </w:r>
      <w:r w:rsidR="004D38B2">
        <w:t>.</w:t>
      </w:r>
      <w:r>
        <w:t xml:space="preserve"> </w:t>
      </w:r>
      <w:r w:rsidR="0089468A">
        <w:t>Si interpreta</w:t>
      </w:r>
      <w:r>
        <w:t xml:space="preserve"> </w:t>
      </w:r>
      <w:r w:rsidR="004D38B2">
        <w:t>dunque</w:t>
      </w:r>
      <w:r>
        <w:t xml:space="preserve"> quest’ultima alla luce del significato dei corrispondenti fattori. </w:t>
      </w:r>
      <w:r w:rsidR="00DE7A3B">
        <w:t>I due fattori sono relativi al settore “aree verdi”</w:t>
      </w:r>
      <w:r w:rsidR="00C35DFD">
        <w:t>:</w:t>
      </w:r>
      <w:r w:rsidR="00DE7A3B">
        <w:t xml:space="preserve"> uno esprime la quantità </w:t>
      </w:r>
      <w:r w:rsidR="003D04E0">
        <w:t xml:space="preserve">aree boschive </w:t>
      </w:r>
      <w:r w:rsidR="00DE7A3B">
        <w:t xml:space="preserve">di un paese rispetto alla </w:t>
      </w:r>
      <w:r w:rsidR="00C35DFD">
        <w:t>sua superficie totale, mentre l’altro riporta una stima della quantità di alberi presenti in un paese</w:t>
      </w:r>
      <w:r w:rsidR="00015A4D">
        <w:t xml:space="preserve"> (dunque ha senso che i due fattori siano allineati)</w:t>
      </w:r>
      <w:r w:rsidR="00C35DFD">
        <w:t xml:space="preserve">. </w:t>
      </w:r>
      <w:r w:rsidR="003D04E0">
        <w:t>Sappiamo che la presenza di alberi è fondamentale per la mitigazione de</w:t>
      </w:r>
      <w:r w:rsidR="00EA6781">
        <w:t xml:space="preserve">l riscaldamento globale, specialmente a livello locale nelle zone urbane. </w:t>
      </w:r>
      <w:r w:rsidR="001F3229">
        <w:br/>
      </w:r>
      <w:r w:rsidR="002346D7">
        <w:t xml:space="preserve">Alla luce di quanto osservato, </w:t>
      </w:r>
      <w:r w:rsidR="00E75DCA">
        <w:t>si può</w:t>
      </w:r>
      <w:r w:rsidR="002346D7">
        <w:t xml:space="preserve"> interpretare la </w:t>
      </w:r>
      <w:r w:rsidR="002346D7">
        <w:rPr>
          <w:b/>
          <w:bCs/>
        </w:rPr>
        <w:t xml:space="preserve">seconda componente principale </w:t>
      </w:r>
      <w:r w:rsidR="002346D7">
        <w:t xml:space="preserve">come un indicatore che classifica le osservazioni in base alla quantità di area verde presente, </w:t>
      </w:r>
      <w:r w:rsidR="006E722F">
        <w:t>il verso positivo è dall’alto in basso.</w:t>
      </w:r>
    </w:p>
    <w:p w14:paraId="65067C7E" w14:textId="77777777" w:rsidR="007A0DB5" w:rsidRDefault="00C7768E" w:rsidP="002B4522">
      <w:r>
        <w:t xml:space="preserve">Si è provato ad indagare ulteriormente con i grafici in cui si utilizza la terza componente principale, ma l’indagine non ha apportato contributi significativi a quanto già osservato. Questo non stupisce particolarmente in quanto la terza componente porta solamente l’8% del totale della varianza dei dati. </w:t>
      </w:r>
    </w:p>
    <w:p w14:paraId="44E2DEC4" w14:textId="77777777" w:rsidR="00B93C95" w:rsidRDefault="007A0DB5" w:rsidP="002B4522">
      <w:r>
        <w:rPr>
          <w:b/>
          <w:bCs/>
        </w:rPr>
        <w:t>Matrice dei loadings.</w:t>
      </w:r>
      <w:r>
        <w:t xml:space="preserve"> </w:t>
      </w:r>
      <w:r w:rsidR="001552FE">
        <w:t xml:space="preserve">Si va </w:t>
      </w:r>
      <w:r>
        <w:t xml:space="preserve">adesso a cercare una conferma numerica di quanto osservato fino ad ora analizzando la matrice dei loadings: </w:t>
      </w:r>
      <w:r w:rsidR="00447EF1">
        <w:t xml:space="preserve">ciascuna riga corrisponde ad uno dei fattori originali </w:t>
      </w:r>
      <w:r w:rsidR="00CC68C7">
        <w:t>e ogni colonna è una delle componenti principali.</w:t>
      </w:r>
      <w:r w:rsidR="00B93C95">
        <w:t xml:space="preserve"> Ogni coefficiente della matrice rappresenta il peso con cui un certo fattore originale concorre alla composizione della corrispondente componente principale. </w:t>
      </w:r>
    </w:p>
    <w:p w14:paraId="4E88DBBF" w14:textId="77777777" w:rsidR="005D7755" w:rsidRDefault="005D7755" w:rsidP="005D7755">
      <w:pPr>
        <w:jc w:val="center"/>
      </w:pPr>
      <w:r>
        <w:rPr>
          <w:noProof/>
        </w:rPr>
        <w:drawing>
          <wp:inline distT="0" distB="0" distL="0" distR="0" wp14:anchorId="374F7237" wp14:editId="7DDD8304">
            <wp:extent cx="5608320" cy="2134397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1194" cy="213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005B" w14:textId="77777777" w:rsidR="00503E83" w:rsidRDefault="00F717AC" w:rsidP="005D7755">
      <w:r>
        <w:rPr>
          <w:b/>
          <w:bCs/>
        </w:rPr>
        <w:t>Osservazioni</w:t>
      </w:r>
      <w:r>
        <w:t xml:space="preserve">: osservando i valori dei coefficienti </w:t>
      </w:r>
      <w:r w:rsidR="00293554">
        <w:t>si trova</w:t>
      </w:r>
      <w:r>
        <w:t xml:space="preserve"> conferma numerica delle interpretazioni date delle componenti. </w:t>
      </w:r>
      <w:r w:rsidR="000400C7">
        <w:t xml:space="preserve">La </w:t>
      </w:r>
      <w:r w:rsidR="000400C7" w:rsidRPr="00C37270">
        <w:rPr>
          <w:b/>
          <w:bCs/>
        </w:rPr>
        <w:t>prima componente</w:t>
      </w:r>
      <w:r w:rsidR="000400C7">
        <w:t xml:space="preserve"> riceve contributo da tutti i fattori</w:t>
      </w:r>
      <w:r w:rsidR="004D0358">
        <w:t xml:space="preserve"> molto</w:t>
      </w:r>
      <w:r w:rsidR="000400C7">
        <w:t xml:space="preserve"> correlati con le emissioni e dalle emissioni stesse</w:t>
      </w:r>
      <w:r w:rsidR="00C96D9E">
        <w:t xml:space="preserve"> (</w:t>
      </w:r>
      <w:r w:rsidR="000400C7">
        <w:t>questi contribuiscono tutti con circa lo stesso peso</w:t>
      </w:r>
      <w:r w:rsidR="00C96D9E">
        <w:t xml:space="preserve">) mentre invece </w:t>
      </w:r>
      <w:r w:rsidR="007A3953">
        <w:t>si vede</w:t>
      </w:r>
      <w:r w:rsidR="00C96D9E">
        <w:t xml:space="preserve"> che i coefficienti relativi agli altri fattori</w:t>
      </w:r>
      <w:r w:rsidR="00503E83">
        <w:t xml:space="preserve"> sono</w:t>
      </w:r>
      <w:r w:rsidR="00C96D9E">
        <w:t xml:space="preserve"> piuttosto piccoli. </w:t>
      </w:r>
    </w:p>
    <w:p w14:paraId="38119852" w14:textId="77777777" w:rsidR="00C37270" w:rsidRDefault="00C37270" w:rsidP="005D7755">
      <w:r>
        <w:t xml:space="preserve">Per quanto riguarda la </w:t>
      </w:r>
      <w:r>
        <w:rPr>
          <w:b/>
          <w:bCs/>
        </w:rPr>
        <w:t>seconda componente</w:t>
      </w:r>
      <w:r>
        <w:t xml:space="preserve"> invece, </w:t>
      </w:r>
      <w:r w:rsidR="000440B2">
        <w:t>si osserva</w:t>
      </w:r>
      <w:r>
        <w:t>, come c</w:t>
      </w:r>
      <w:r w:rsidR="000D2A21">
        <w:t>i si aspettava</w:t>
      </w:r>
      <w:r>
        <w:t>,</w:t>
      </w:r>
      <w:r w:rsidR="002E6105">
        <w:t xml:space="preserve"> </w:t>
      </w:r>
      <w:r w:rsidR="00997F1D">
        <w:t>che</w:t>
      </w:r>
      <w:r w:rsidR="0056189F">
        <w:t xml:space="preserve"> questa</w:t>
      </w:r>
      <w:r>
        <w:t xml:space="preserve"> ignora completamente i fattori catturati dalla prima componente</w:t>
      </w:r>
      <w:r w:rsidR="002E6105">
        <w:t>.</w:t>
      </w:r>
      <w:r w:rsidR="00F911AD">
        <w:t xml:space="preserve"> </w:t>
      </w:r>
      <w:r w:rsidR="00E411E1">
        <w:t>I</w:t>
      </w:r>
      <w:r>
        <w:t xml:space="preserve"> coefficienti </w:t>
      </w:r>
      <w:r w:rsidR="00F911AD">
        <w:t>relativi agli altri</w:t>
      </w:r>
      <w:r>
        <w:t xml:space="preserve"> due gruppi di fattori</w:t>
      </w:r>
      <w:r w:rsidR="00890AD5">
        <w:t xml:space="preserve"> ,invece,</w:t>
      </w:r>
      <w:r>
        <w:t xml:space="preserve"> </w:t>
      </w:r>
      <w:r w:rsidR="00F54B80">
        <w:t>sono non nulli</w:t>
      </w:r>
      <w:r w:rsidR="00D927E8">
        <w:t xml:space="preserve">. Più </w:t>
      </w:r>
      <w:r w:rsidR="004E70DD">
        <w:t>dettagliatamente</w:t>
      </w:r>
      <w:r w:rsidR="00D927E8">
        <w:t xml:space="preserve"> </w:t>
      </w:r>
      <w:r w:rsidR="004E70DD">
        <w:t>si nota</w:t>
      </w:r>
      <w:r w:rsidR="00D927E8">
        <w:t xml:space="preserve"> anche che i fattori relativi alle aree verdi hanno coefficienti più alti (erano quelli più allineati alla componente) rispetto a quelli </w:t>
      </w:r>
      <w:r w:rsidR="00E47A71">
        <w:t xml:space="preserve">facenti parte </w:t>
      </w:r>
      <w:r w:rsidR="00D927E8">
        <w:t xml:space="preserve">del settore delle energie rinnovabili. </w:t>
      </w:r>
    </w:p>
    <w:p w14:paraId="160D65F9" w14:textId="77777777" w:rsidR="009D6856" w:rsidRDefault="003D2202" w:rsidP="005D7755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5F824E5" wp14:editId="0BAC2329">
            <wp:simplePos x="0" y="0"/>
            <wp:positionH relativeFrom="margin">
              <wp:align>left</wp:align>
            </wp:positionH>
            <wp:positionV relativeFrom="paragraph">
              <wp:posOffset>115</wp:posOffset>
            </wp:positionV>
            <wp:extent cx="1630045" cy="1950720"/>
            <wp:effectExtent l="0" t="0" r="8255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8A9">
        <w:rPr>
          <w:b/>
          <w:bCs/>
        </w:rPr>
        <w:t xml:space="preserve">A sinistra. </w:t>
      </w:r>
      <w:r w:rsidR="002C506A">
        <w:t>Si prova</w:t>
      </w:r>
      <w:r w:rsidR="00CC3F77">
        <w:t xml:space="preserve"> anche a ruotare la matrice dei loadings rispetto alle due componenti più influenti per vedere se </w:t>
      </w:r>
      <w:r w:rsidR="00F823FC">
        <w:t>si riesce</w:t>
      </w:r>
      <w:r w:rsidR="00CC3F77">
        <w:t xml:space="preserve"> ad ottenere una matrice</w:t>
      </w:r>
      <w:r w:rsidR="002B78B0">
        <w:t xml:space="preserve"> dei</w:t>
      </w:r>
      <w:r w:rsidR="00E60D8A">
        <w:t xml:space="preserve"> </w:t>
      </w:r>
      <w:proofErr w:type="spellStart"/>
      <w:r w:rsidR="002B78B0">
        <w:t>pesi</w:t>
      </w:r>
      <w:proofErr w:type="spellEnd"/>
      <w:r w:rsidR="00CC3F77">
        <w:t xml:space="preserve"> più sparsa</w:t>
      </w:r>
      <w:r w:rsidR="00BC59C4">
        <w:t>:</w:t>
      </w:r>
      <w:r w:rsidR="00354AFA">
        <w:t xml:space="preserve"> s</w:t>
      </w:r>
      <w:r w:rsidR="00C25170">
        <w:t>i ottiene</w:t>
      </w:r>
      <w:r w:rsidR="00CC3F77">
        <w:t xml:space="preserve"> solo una conferma di quanto già osservato. </w:t>
      </w:r>
    </w:p>
    <w:p w14:paraId="1B0DAF51" w14:textId="77777777" w:rsidR="00137AE2" w:rsidRPr="00354AFA" w:rsidRDefault="00137AE2" w:rsidP="005D7755"/>
    <w:p w14:paraId="770B7031" w14:textId="77777777" w:rsidR="00C9516F" w:rsidRPr="00C9516F" w:rsidRDefault="00137AE2" w:rsidP="00C9516F">
      <w:r>
        <w:rPr>
          <w:noProof/>
        </w:rPr>
        <w:drawing>
          <wp:anchor distT="0" distB="0" distL="114300" distR="114300" simplePos="0" relativeHeight="251661312" behindDoc="0" locked="0" layoutInCell="1" allowOverlap="1" wp14:anchorId="65CD97AF" wp14:editId="1B4112D5">
            <wp:simplePos x="0" y="0"/>
            <wp:positionH relativeFrom="margin">
              <wp:align>left</wp:align>
            </wp:positionH>
            <wp:positionV relativeFrom="paragraph">
              <wp:posOffset>1072515</wp:posOffset>
            </wp:positionV>
            <wp:extent cx="6243320" cy="739140"/>
            <wp:effectExtent l="0" t="0" r="5080" b="381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58E">
        <w:rPr>
          <w:b/>
          <w:bCs/>
        </w:rPr>
        <w:t xml:space="preserve">Sotto. </w:t>
      </w:r>
      <w:r w:rsidR="003E37A7">
        <w:t>Si prova</w:t>
      </w:r>
      <w:r w:rsidR="00B8358E">
        <w:t xml:space="preserve"> anche</w:t>
      </w:r>
      <w:r w:rsidR="00FD72B6">
        <w:t xml:space="preserve"> a classificare le osservazioni in base alla prima componente</w:t>
      </w:r>
      <w:r w:rsidR="00353400">
        <w:t xml:space="preserve">. </w:t>
      </w:r>
      <w:r w:rsidR="00A54D3F">
        <w:t>Si osserva</w:t>
      </w:r>
      <w:r w:rsidR="00B8358E">
        <w:t xml:space="preserve"> che effettivamente i paesi </w:t>
      </w:r>
      <w:r w:rsidR="00DD2ECE">
        <w:t>risultano</w:t>
      </w:r>
      <w:r w:rsidR="004B389B">
        <w:t xml:space="preserve"> </w:t>
      </w:r>
      <w:r w:rsidR="00B8358E">
        <w:t>ordinati correttamente per quantità di gas serra emessi</w:t>
      </w:r>
      <w:r w:rsidR="001F247E">
        <w:t xml:space="preserve">: </w:t>
      </w:r>
      <w:r w:rsidR="00D54EB0">
        <w:t>i</w:t>
      </w:r>
      <w:r w:rsidR="001F247E">
        <w:t xml:space="preserve"> paesi </w:t>
      </w:r>
      <w:r w:rsidR="00D54EB0">
        <w:t xml:space="preserve">con le emissioni maggiori sono Germania, Inghilterra e Francia (sono anche quelli </w:t>
      </w:r>
      <w:r w:rsidR="00A26121">
        <w:t>caratterizzati dall’avere una</w:t>
      </w:r>
      <w:r w:rsidR="00D54EB0">
        <w:t xml:space="preserve"> popolazione più </w:t>
      </w:r>
      <w:r w:rsidR="00C60B5B">
        <w:t>vasta</w:t>
      </w:r>
      <w:r w:rsidR="00D54EB0">
        <w:t xml:space="preserve">). </w:t>
      </w:r>
      <w:bookmarkStart w:id="19" w:name="_Toc25938774"/>
    </w:p>
    <w:p w14:paraId="0CDC09BB" w14:textId="77777777" w:rsidR="00C9516F" w:rsidRDefault="00C9516F" w:rsidP="00C9516F">
      <w:pPr>
        <w:pStyle w:val="Titolo1"/>
        <w:rPr>
          <w:sz w:val="40"/>
          <w:szCs w:val="40"/>
        </w:rPr>
      </w:pPr>
    </w:p>
    <w:p w14:paraId="706DFD35" w14:textId="77777777" w:rsidR="001D6CD8" w:rsidRPr="00C9516F" w:rsidRDefault="004E47B4" w:rsidP="00C9516F">
      <w:pPr>
        <w:pStyle w:val="Titolo1"/>
        <w:rPr>
          <w:sz w:val="40"/>
          <w:szCs w:val="40"/>
        </w:rPr>
      </w:pPr>
      <w:r w:rsidRPr="00707493">
        <w:rPr>
          <w:sz w:val="40"/>
          <w:szCs w:val="40"/>
        </w:rPr>
        <w:t>4. Conclusioni</w:t>
      </w:r>
      <w:bookmarkEnd w:id="19"/>
    </w:p>
    <w:p w14:paraId="4697D5E3" w14:textId="77777777" w:rsidR="00117E0F" w:rsidRDefault="00D131E6" w:rsidP="00117E0F">
      <w:bookmarkStart w:id="20" w:name="_Toc25938773"/>
      <w:r>
        <w:rPr>
          <w:noProof/>
        </w:rPr>
        <w:drawing>
          <wp:anchor distT="0" distB="0" distL="114300" distR="114300" simplePos="0" relativeHeight="251665408" behindDoc="0" locked="0" layoutInCell="1" allowOverlap="1" wp14:anchorId="2A7C2B54" wp14:editId="789706F6">
            <wp:simplePos x="0" y="0"/>
            <wp:positionH relativeFrom="margin">
              <wp:align>center</wp:align>
            </wp:positionH>
            <wp:positionV relativeFrom="paragraph">
              <wp:posOffset>999605</wp:posOffset>
            </wp:positionV>
            <wp:extent cx="4819015" cy="3282950"/>
            <wp:effectExtent l="0" t="0" r="635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0"/>
      <w:r w:rsidR="00A81D19">
        <w:t>Si osserva</w:t>
      </w:r>
      <w:r w:rsidR="00117E0F">
        <w:t>, in fine, come le varie osservazioni si collocano sul piano principale: la collocazione dei vari paesi</w:t>
      </w:r>
      <w:r w:rsidR="00407E4E">
        <w:t xml:space="preserve"> nel piano </w:t>
      </w:r>
      <w:r w:rsidR="00117E0F">
        <w:t>è coerente con l</w:t>
      </w:r>
      <w:r w:rsidR="00C56B3F">
        <w:t>’</w:t>
      </w:r>
      <w:r w:rsidR="00117E0F">
        <w:t xml:space="preserve"> interpretazione</w:t>
      </w:r>
      <w:r w:rsidR="00C56B3F">
        <w:t xml:space="preserve"> data</w:t>
      </w:r>
      <w:r w:rsidR="00753CD3">
        <w:t xml:space="preserve"> delle componenti</w:t>
      </w:r>
      <w:r w:rsidR="00117E0F">
        <w:t xml:space="preserve">. Il quadrante migliore è quello in basso a sinistra: è qui che </w:t>
      </w:r>
      <w:r w:rsidR="00DE7749">
        <w:t>sono situati</w:t>
      </w:r>
      <w:r w:rsidR="00117E0F">
        <w:t xml:space="preserve"> quei paesi che contribuiscono in misura minore alle emissioni totali. </w:t>
      </w:r>
      <w:r w:rsidR="000C2437">
        <w:t>Risulta</w:t>
      </w:r>
      <w:r w:rsidR="003C4780">
        <w:t xml:space="preserve"> inoltre</w:t>
      </w:r>
      <w:r w:rsidR="00DB3534">
        <w:t>,</w:t>
      </w:r>
      <w:r w:rsidR="003C4780">
        <w:t xml:space="preserve"> che la Spagna</w:t>
      </w:r>
      <w:r w:rsidR="00305B1D">
        <w:t xml:space="preserve"> è</w:t>
      </w:r>
      <w:r w:rsidR="003C4780">
        <w:t xml:space="preserve"> il Paese che si avvale maggiormente dell’u</w:t>
      </w:r>
      <w:r w:rsidR="006330C0">
        <w:t>tilizzo</w:t>
      </w:r>
      <w:r w:rsidR="003C4780">
        <w:t xml:space="preserve"> di energia solare.</w:t>
      </w:r>
      <w:r w:rsidR="00B43DD7">
        <w:t xml:space="preserve"> </w:t>
      </w:r>
      <w:r w:rsidR="009250AC">
        <w:br/>
      </w:r>
    </w:p>
    <w:p w14:paraId="49F53437" w14:textId="77777777" w:rsidR="00006300" w:rsidRPr="00006300" w:rsidRDefault="00006300" w:rsidP="004E47B4"/>
    <w:sectPr w:rsidR="00006300" w:rsidRPr="00006300" w:rsidSect="000A1B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D0EFC" w14:textId="77777777" w:rsidR="00641C68" w:rsidRDefault="00641C68" w:rsidP="009233AF">
      <w:pPr>
        <w:spacing w:after="0" w:line="240" w:lineRule="auto"/>
      </w:pPr>
      <w:r>
        <w:separator/>
      </w:r>
    </w:p>
  </w:endnote>
  <w:endnote w:type="continuationSeparator" w:id="0">
    <w:p w14:paraId="7EF23241" w14:textId="77777777" w:rsidR="00641C68" w:rsidRDefault="00641C68" w:rsidP="00923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919FF" w14:textId="77777777" w:rsidR="00641C68" w:rsidRDefault="00641C68" w:rsidP="009233AF">
      <w:pPr>
        <w:spacing w:after="0" w:line="240" w:lineRule="auto"/>
      </w:pPr>
      <w:r>
        <w:separator/>
      </w:r>
    </w:p>
  </w:footnote>
  <w:footnote w:type="continuationSeparator" w:id="0">
    <w:p w14:paraId="2F768E4E" w14:textId="77777777" w:rsidR="00641C68" w:rsidRDefault="00641C68" w:rsidP="009233AF">
      <w:pPr>
        <w:spacing w:after="0" w:line="240" w:lineRule="auto"/>
      </w:pPr>
      <w:r>
        <w:continuationSeparator/>
      </w:r>
    </w:p>
  </w:footnote>
  <w:footnote w:id="1">
    <w:p w14:paraId="6B76D311" w14:textId="77777777" w:rsidR="00392F0D" w:rsidRPr="009233AF" w:rsidRDefault="00392F0D" w:rsidP="009233AF">
      <w:pPr>
        <w:pStyle w:val="Titolo1"/>
        <w:shd w:val="clear" w:color="auto" w:fill="FFFFFF"/>
        <w:spacing w:after="120" w:line="324" w:lineRule="atLeast"/>
        <w:rPr>
          <w:rFonts w:ascii="Arial" w:hAnsi="Arial" w:cs="Arial"/>
          <w:color w:val="000000"/>
          <w:sz w:val="37"/>
          <w:szCs w:val="37"/>
          <w:lang w:val="en-US"/>
        </w:rPr>
      </w:pPr>
      <w:r>
        <w:rPr>
          <w:rStyle w:val="Rimandonotaapidipagina"/>
        </w:rPr>
        <w:footnoteRef/>
      </w:r>
      <w:r w:rsidRPr="009233AF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9233AF">
        <w:rPr>
          <w:sz w:val="20"/>
          <w:szCs w:val="20"/>
          <w:lang w:val="en-US"/>
        </w:rPr>
        <w:t>“</w:t>
      </w:r>
      <w:r w:rsidRPr="009233AF">
        <w:rPr>
          <w:rFonts w:asciiTheme="minorHAnsi" w:hAnsiTheme="minorHAnsi" w:cstheme="minorHAnsi"/>
          <w:color w:val="808080" w:themeColor="background1" w:themeShade="80"/>
          <w:sz w:val="20"/>
          <w:szCs w:val="20"/>
          <w:lang w:val="en-US"/>
        </w:rPr>
        <w:t>EU-Forest, a high-resolution tree occurrence dataset for Europe</w:t>
      </w:r>
      <w:r>
        <w:rPr>
          <w:rFonts w:asciiTheme="minorHAnsi" w:hAnsiTheme="minorHAnsi" w:cstheme="minorHAnsi"/>
          <w:color w:val="808080" w:themeColor="background1" w:themeShade="80"/>
          <w:sz w:val="20"/>
          <w:szCs w:val="20"/>
          <w:lang w:val="en-US"/>
        </w:rPr>
        <w:t>”</w:t>
      </w:r>
    </w:p>
    <w:p w14:paraId="488C21EB" w14:textId="77777777" w:rsidR="00392F0D" w:rsidRPr="009233AF" w:rsidRDefault="00392F0D">
      <w:pPr>
        <w:pStyle w:val="Testonotaapidipagina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65C49"/>
    <w:multiLevelType w:val="hybridMultilevel"/>
    <w:tmpl w:val="3AD201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87DE3"/>
    <w:multiLevelType w:val="hybridMultilevel"/>
    <w:tmpl w:val="4AC6EB5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30C5A"/>
    <w:multiLevelType w:val="hybridMultilevel"/>
    <w:tmpl w:val="22CEB926"/>
    <w:lvl w:ilvl="0" w:tplc="00FE796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A1EB2"/>
    <w:multiLevelType w:val="multilevel"/>
    <w:tmpl w:val="8F2C1C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C85B79"/>
    <w:multiLevelType w:val="multilevel"/>
    <w:tmpl w:val="EB6C25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FB42B20"/>
    <w:multiLevelType w:val="multilevel"/>
    <w:tmpl w:val="501E15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2D91032"/>
    <w:multiLevelType w:val="hybridMultilevel"/>
    <w:tmpl w:val="9F8AF63E"/>
    <w:lvl w:ilvl="0" w:tplc="F2462F5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36"/>
    <w:rsid w:val="00004ECD"/>
    <w:rsid w:val="00006300"/>
    <w:rsid w:val="0001326D"/>
    <w:rsid w:val="00015A4D"/>
    <w:rsid w:val="000209B7"/>
    <w:rsid w:val="00030302"/>
    <w:rsid w:val="000400C7"/>
    <w:rsid w:val="000440B2"/>
    <w:rsid w:val="00051480"/>
    <w:rsid w:val="00057F0C"/>
    <w:rsid w:val="00061BDA"/>
    <w:rsid w:val="00061E96"/>
    <w:rsid w:val="00070036"/>
    <w:rsid w:val="00071E9A"/>
    <w:rsid w:val="00074F71"/>
    <w:rsid w:val="00075E8E"/>
    <w:rsid w:val="00076FB4"/>
    <w:rsid w:val="00094AB9"/>
    <w:rsid w:val="000A1BDF"/>
    <w:rsid w:val="000B1614"/>
    <w:rsid w:val="000C2437"/>
    <w:rsid w:val="000D2A21"/>
    <w:rsid w:val="000D5FD3"/>
    <w:rsid w:val="00117869"/>
    <w:rsid w:val="00117E0F"/>
    <w:rsid w:val="00121613"/>
    <w:rsid w:val="00123046"/>
    <w:rsid w:val="001302B2"/>
    <w:rsid w:val="00132DD6"/>
    <w:rsid w:val="00135E7B"/>
    <w:rsid w:val="00137AE2"/>
    <w:rsid w:val="00141CB3"/>
    <w:rsid w:val="00145457"/>
    <w:rsid w:val="00153246"/>
    <w:rsid w:val="001552FE"/>
    <w:rsid w:val="00177F87"/>
    <w:rsid w:val="00185B9F"/>
    <w:rsid w:val="001A5F54"/>
    <w:rsid w:val="001A6B4F"/>
    <w:rsid w:val="001B0ADF"/>
    <w:rsid w:val="001B7A7C"/>
    <w:rsid w:val="001C2863"/>
    <w:rsid w:val="001D206A"/>
    <w:rsid w:val="001D5703"/>
    <w:rsid w:val="001D6CD8"/>
    <w:rsid w:val="001E11D3"/>
    <w:rsid w:val="001E24EF"/>
    <w:rsid w:val="001F247E"/>
    <w:rsid w:val="001F3229"/>
    <w:rsid w:val="001F671F"/>
    <w:rsid w:val="00200D6B"/>
    <w:rsid w:val="002014F4"/>
    <w:rsid w:val="00205E6E"/>
    <w:rsid w:val="00212273"/>
    <w:rsid w:val="00217F47"/>
    <w:rsid w:val="00225C47"/>
    <w:rsid w:val="00227F32"/>
    <w:rsid w:val="002346D7"/>
    <w:rsid w:val="0024523E"/>
    <w:rsid w:val="002500C7"/>
    <w:rsid w:val="002540E8"/>
    <w:rsid w:val="00271645"/>
    <w:rsid w:val="00286779"/>
    <w:rsid w:val="00293554"/>
    <w:rsid w:val="002A14A9"/>
    <w:rsid w:val="002B0EBB"/>
    <w:rsid w:val="002B3383"/>
    <w:rsid w:val="002B4522"/>
    <w:rsid w:val="002B6BA7"/>
    <w:rsid w:val="002B78B0"/>
    <w:rsid w:val="002C506A"/>
    <w:rsid w:val="002E6105"/>
    <w:rsid w:val="002E62D9"/>
    <w:rsid w:val="002F4ED2"/>
    <w:rsid w:val="00302224"/>
    <w:rsid w:val="00305B1D"/>
    <w:rsid w:val="003331FB"/>
    <w:rsid w:val="00336A9D"/>
    <w:rsid w:val="00342175"/>
    <w:rsid w:val="0034464B"/>
    <w:rsid w:val="00353400"/>
    <w:rsid w:val="00354AFA"/>
    <w:rsid w:val="00355575"/>
    <w:rsid w:val="00355DA9"/>
    <w:rsid w:val="00363770"/>
    <w:rsid w:val="003645DA"/>
    <w:rsid w:val="00367B9C"/>
    <w:rsid w:val="00375FAC"/>
    <w:rsid w:val="00392F0D"/>
    <w:rsid w:val="003A4F36"/>
    <w:rsid w:val="003A53B9"/>
    <w:rsid w:val="003C0917"/>
    <w:rsid w:val="003C4780"/>
    <w:rsid w:val="003D04E0"/>
    <w:rsid w:val="003D2202"/>
    <w:rsid w:val="003D4C36"/>
    <w:rsid w:val="003E37A7"/>
    <w:rsid w:val="003E62DA"/>
    <w:rsid w:val="00407E4E"/>
    <w:rsid w:val="004317D6"/>
    <w:rsid w:val="00441C76"/>
    <w:rsid w:val="00447EF1"/>
    <w:rsid w:val="0045111E"/>
    <w:rsid w:val="004556B2"/>
    <w:rsid w:val="00455788"/>
    <w:rsid w:val="00456E9A"/>
    <w:rsid w:val="0048766C"/>
    <w:rsid w:val="0049133C"/>
    <w:rsid w:val="004A0BE9"/>
    <w:rsid w:val="004B039E"/>
    <w:rsid w:val="004B389B"/>
    <w:rsid w:val="004C2518"/>
    <w:rsid w:val="004D0358"/>
    <w:rsid w:val="004D38B2"/>
    <w:rsid w:val="004D3CE0"/>
    <w:rsid w:val="004E47B4"/>
    <w:rsid w:val="004E70DD"/>
    <w:rsid w:val="004F22D9"/>
    <w:rsid w:val="004F7DE0"/>
    <w:rsid w:val="00503E83"/>
    <w:rsid w:val="00504DA2"/>
    <w:rsid w:val="00506AA0"/>
    <w:rsid w:val="00544FDD"/>
    <w:rsid w:val="00546757"/>
    <w:rsid w:val="0055287B"/>
    <w:rsid w:val="0056189F"/>
    <w:rsid w:val="0056440F"/>
    <w:rsid w:val="00573F9B"/>
    <w:rsid w:val="00575DDA"/>
    <w:rsid w:val="005842C7"/>
    <w:rsid w:val="00586F52"/>
    <w:rsid w:val="005C5074"/>
    <w:rsid w:val="005D7755"/>
    <w:rsid w:val="005E0DD9"/>
    <w:rsid w:val="005E46E9"/>
    <w:rsid w:val="00600599"/>
    <w:rsid w:val="006269F9"/>
    <w:rsid w:val="006330C0"/>
    <w:rsid w:val="00641C68"/>
    <w:rsid w:val="00647F03"/>
    <w:rsid w:val="00671AAF"/>
    <w:rsid w:val="006A703C"/>
    <w:rsid w:val="006B0F61"/>
    <w:rsid w:val="006B602F"/>
    <w:rsid w:val="006C41B0"/>
    <w:rsid w:val="006D254A"/>
    <w:rsid w:val="006D471F"/>
    <w:rsid w:val="006E7203"/>
    <w:rsid w:val="006E722F"/>
    <w:rsid w:val="006F2FEB"/>
    <w:rsid w:val="0070430B"/>
    <w:rsid w:val="00707493"/>
    <w:rsid w:val="00714404"/>
    <w:rsid w:val="00723361"/>
    <w:rsid w:val="00732CDB"/>
    <w:rsid w:val="007332C6"/>
    <w:rsid w:val="00747DE9"/>
    <w:rsid w:val="00752090"/>
    <w:rsid w:val="00753CD3"/>
    <w:rsid w:val="00756838"/>
    <w:rsid w:val="00757141"/>
    <w:rsid w:val="007672D1"/>
    <w:rsid w:val="00793C58"/>
    <w:rsid w:val="00794D57"/>
    <w:rsid w:val="007A0DB5"/>
    <w:rsid w:val="007A1D14"/>
    <w:rsid w:val="007A3953"/>
    <w:rsid w:val="007A45B5"/>
    <w:rsid w:val="007A63B6"/>
    <w:rsid w:val="007B1931"/>
    <w:rsid w:val="007B6AD6"/>
    <w:rsid w:val="007C0C0B"/>
    <w:rsid w:val="007E058B"/>
    <w:rsid w:val="007E4047"/>
    <w:rsid w:val="007F3FED"/>
    <w:rsid w:val="007F51D4"/>
    <w:rsid w:val="00805C72"/>
    <w:rsid w:val="0081393A"/>
    <w:rsid w:val="00834E8C"/>
    <w:rsid w:val="00836781"/>
    <w:rsid w:val="00836F8E"/>
    <w:rsid w:val="008422FF"/>
    <w:rsid w:val="0084396F"/>
    <w:rsid w:val="008633AA"/>
    <w:rsid w:val="008663B7"/>
    <w:rsid w:val="00885AA5"/>
    <w:rsid w:val="00890AD5"/>
    <w:rsid w:val="0089468A"/>
    <w:rsid w:val="00897A54"/>
    <w:rsid w:val="008A215E"/>
    <w:rsid w:val="008A57D5"/>
    <w:rsid w:val="008B782E"/>
    <w:rsid w:val="008C0286"/>
    <w:rsid w:val="008C1192"/>
    <w:rsid w:val="008C6534"/>
    <w:rsid w:val="008E7D65"/>
    <w:rsid w:val="008F21C1"/>
    <w:rsid w:val="008F58BF"/>
    <w:rsid w:val="008F7AD1"/>
    <w:rsid w:val="00915A49"/>
    <w:rsid w:val="00916F54"/>
    <w:rsid w:val="009233AF"/>
    <w:rsid w:val="009250AC"/>
    <w:rsid w:val="00940AB2"/>
    <w:rsid w:val="00942A3A"/>
    <w:rsid w:val="009447E5"/>
    <w:rsid w:val="00944E82"/>
    <w:rsid w:val="00997F1D"/>
    <w:rsid w:val="009B0BF2"/>
    <w:rsid w:val="009B4E2A"/>
    <w:rsid w:val="009C7AB9"/>
    <w:rsid w:val="009D00D3"/>
    <w:rsid w:val="009D6856"/>
    <w:rsid w:val="009F189D"/>
    <w:rsid w:val="009F78A9"/>
    <w:rsid w:val="00A03ED1"/>
    <w:rsid w:val="00A20DBD"/>
    <w:rsid w:val="00A2254E"/>
    <w:rsid w:val="00A26121"/>
    <w:rsid w:val="00A317A0"/>
    <w:rsid w:val="00A35CD3"/>
    <w:rsid w:val="00A4374E"/>
    <w:rsid w:val="00A54D3F"/>
    <w:rsid w:val="00A70585"/>
    <w:rsid w:val="00A72988"/>
    <w:rsid w:val="00A81D19"/>
    <w:rsid w:val="00A81F34"/>
    <w:rsid w:val="00AB554E"/>
    <w:rsid w:val="00B00471"/>
    <w:rsid w:val="00B32BF5"/>
    <w:rsid w:val="00B412AA"/>
    <w:rsid w:val="00B43DD7"/>
    <w:rsid w:val="00B71C58"/>
    <w:rsid w:val="00B8358E"/>
    <w:rsid w:val="00B93C95"/>
    <w:rsid w:val="00B951BB"/>
    <w:rsid w:val="00BA0D11"/>
    <w:rsid w:val="00BA4C5A"/>
    <w:rsid w:val="00BA527A"/>
    <w:rsid w:val="00BB4920"/>
    <w:rsid w:val="00BB52D9"/>
    <w:rsid w:val="00BC2F74"/>
    <w:rsid w:val="00BC59C4"/>
    <w:rsid w:val="00BD0A4A"/>
    <w:rsid w:val="00BD44BE"/>
    <w:rsid w:val="00BE3EE0"/>
    <w:rsid w:val="00BF1896"/>
    <w:rsid w:val="00BF3E80"/>
    <w:rsid w:val="00C16848"/>
    <w:rsid w:val="00C21A47"/>
    <w:rsid w:val="00C25170"/>
    <w:rsid w:val="00C35DFD"/>
    <w:rsid w:val="00C37270"/>
    <w:rsid w:val="00C54505"/>
    <w:rsid w:val="00C56B3F"/>
    <w:rsid w:val="00C60B5B"/>
    <w:rsid w:val="00C702AF"/>
    <w:rsid w:val="00C70DFA"/>
    <w:rsid w:val="00C7768E"/>
    <w:rsid w:val="00C905AF"/>
    <w:rsid w:val="00C9516F"/>
    <w:rsid w:val="00C96D9E"/>
    <w:rsid w:val="00CA6B3B"/>
    <w:rsid w:val="00CB0260"/>
    <w:rsid w:val="00CB27FE"/>
    <w:rsid w:val="00CB6ECE"/>
    <w:rsid w:val="00CC3F77"/>
    <w:rsid w:val="00CC3FC7"/>
    <w:rsid w:val="00CC68C7"/>
    <w:rsid w:val="00CF3919"/>
    <w:rsid w:val="00D02586"/>
    <w:rsid w:val="00D062B8"/>
    <w:rsid w:val="00D131E6"/>
    <w:rsid w:val="00D1723F"/>
    <w:rsid w:val="00D25F11"/>
    <w:rsid w:val="00D367E0"/>
    <w:rsid w:val="00D400FF"/>
    <w:rsid w:val="00D4102C"/>
    <w:rsid w:val="00D54EB0"/>
    <w:rsid w:val="00D73D33"/>
    <w:rsid w:val="00D74BA7"/>
    <w:rsid w:val="00D7614B"/>
    <w:rsid w:val="00D770B3"/>
    <w:rsid w:val="00D80E40"/>
    <w:rsid w:val="00D927E8"/>
    <w:rsid w:val="00D95C7B"/>
    <w:rsid w:val="00D97987"/>
    <w:rsid w:val="00DB3534"/>
    <w:rsid w:val="00DB6DB1"/>
    <w:rsid w:val="00DD2ECE"/>
    <w:rsid w:val="00DE6D3E"/>
    <w:rsid w:val="00DE7749"/>
    <w:rsid w:val="00DE7A3B"/>
    <w:rsid w:val="00DF37E7"/>
    <w:rsid w:val="00E128A5"/>
    <w:rsid w:val="00E140E0"/>
    <w:rsid w:val="00E15123"/>
    <w:rsid w:val="00E226E3"/>
    <w:rsid w:val="00E25A07"/>
    <w:rsid w:val="00E25DCD"/>
    <w:rsid w:val="00E31093"/>
    <w:rsid w:val="00E328FF"/>
    <w:rsid w:val="00E411E1"/>
    <w:rsid w:val="00E43CF0"/>
    <w:rsid w:val="00E44721"/>
    <w:rsid w:val="00E47349"/>
    <w:rsid w:val="00E47A71"/>
    <w:rsid w:val="00E53611"/>
    <w:rsid w:val="00E540C6"/>
    <w:rsid w:val="00E60D8A"/>
    <w:rsid w:val="00E63782"/>
    <w:rsid w:val="00E71422"/>
    <w:rsid w:val="00E75DCA"/>
    <w:rsid w:val="00E815E8"/>
    <w:rsid w:val="00E84DBB"/>
    <w:rsid w:val="00E8668A"/>
    <w:rsid w:val="00E93477"/>
    <w:rsid w:val="00E94EFE"/>
    <w:rsid w:val="00EA3E69"/>
    <w:rsid w:val="00EA6781"/>
    <w:rsid w:val="00EB65E2"/>
    <w:rsid w:val="00EC19B8"/>
    <w:rsid w:val="00EC5EB2"/>
    <w:rsid w:val="00ED76FA"/>
    <w:rsid w:val="00ED7933"/>
    <w:rsid w:val="00ED7DE2"/>
    <w:rsid w:val="00EE3F84"/>
    <w:rsid w:val="00F07312"/>
    <w:rsid w:val="00F1147A"/>
    <w:rsid w:val="00F13D05"/>
    <w:rsid w:val="00F25276"/>
    <w:rsid w:val="00F2531A"/>
    <w:rsid w:val="00F364FD"/>
    <w:rsid w:val="00F462C4"/>
    <w:rsid w:val="00F50BBA"/>
    <w:rsid w:val="00F54B80"/>
    <w:rsid w:val="00F717AC"/>
    <w:rsid w:val="00F823FC"/>
    <w:rsid w:val="00F84465"/>
    <w:rsid w:val="00F911AD"/>
    <w:rsid w:val="00FD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8D909"/>
  <w15:chartTrackingRefBased/>
  <w15:docId w15:val="{307F75BB-EBC3-4672-A7B1-25B0C884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D4C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7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05E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4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2B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2B6B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5scura-colore3">
    <w:name w:val="Grid Table 5 Dark Accent 3"/>
    <w:basedOn w:val="Tabellanormale"/>
    <w:uiPriority w:val="50"/>
    <w:rsid w:val="002B6B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semplice-1">
    <w:name w:val="Plain Table 1"/>
    <w:basedOn w:val="Tabellanormale"/>
    <w:uiPriority w:val="41"/>
    <w:rsid w:val="002B6B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057F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57F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57F0C"/>
    <w:rPr>
      <w:rFonts w:ascii="Segoe UI" w:hAnsi="Segoe UI" w:cs="Segoe UI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A81F34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205E6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205E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93477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233A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233A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233AF"/>
    <w:rPr>
      <w:vertAlign w:val="superscrip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2B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B3383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d15mcfckub">
    <w:name w:val="gd15mcfckub"/>
    <w:basedOn w:val="Carpredefinitoparagrafo"/>
    <w:rsid w:val="002B3383"/>
  </w:style>
  <w:style w:type="character" w:customStyle="1" w:styleId="gd15mcfcktb">
    <w:name w:val="gd15mcfcktb"/>
    <w:basedOn w:val="Carpredefinitoparagrafo"/>
    <w:rsid w:val="002B3383"/>
  </w:style>
  <w:style w:type="character" w:customStyle="1" w:styleId="gd15mcfceub">
    <w:name w:val="gd15mcfceub"/>
    <w:basedOn w:val="Carpredefinitoparagrafo"/>
    <w:rsid w:val="002B3383"/>
  </w:style>
  <w:style w:type="paragraph" w:styleId="Titolosommario">
    <w:name w:val="TOC Heading"/>
    <w:basedOn w:val="Titolo1"/>
    <w:next w:val="Normale"/>
    <w:uiPriority w:val="39"/>
    <w:unhideWhenUsed/>
    <w:qFormat/>
    <w:rsid w:val="006E720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E720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E720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6E720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sso.eurostat.ec.europa.eu/nui/show.do?dataset=aei_ps_inp&amp;lang=en" TargetMode="External"/><Relationship Id="rId18" Type="http://schemas.openxmlformats.org/officeDocument/2006/relationships/hyperlink" Target="https://www.ncbi.nlm.nih.gov/pmc/articles/PMC5215058/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ppsso.eurostat.ec.europa.eu/nui/show.do?dataset=env_wasgen&amp;lang=en" TargetMode="External"/><Relationship Id="rId17" Type="http://schemas.openxmlformats.org/officeDocument/2006/relationships/hyperlink" Target="https://ec.europa.eu/eurostat/tgm/table.do?tab=table&amp;plugin=1&amp;language=en&amp;pcode=sdg_15_10" TargetMode="Externa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ppsso.eurostat.ec.europa.eu/nui/submitViewTableAction.do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sso.eurostat.ec.europa.eu/nui/submitViewTableAction.do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appsso.eurostat.ec.europa.eu/nui/show.do?dataset=nrg_inf_epcrw&amp;lang=en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yperlink" Target="https://ec.europa.eu/eurostat/statistics-explained/index.php/Air_transport_statistics" TargetMode="External"/><Relationship Id="rId19" Type="http://schemas.openxmlformats.org/officeDocument/2006/relationships/hyperlink" Target="https://appsso.eurostat.ec.europa.eu/nui/show.do?dataset=env_air_gge&amp;lang=en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ec.europa.eu/eurostat/databrowser/view/sdg_07_10/default/table?lang=en" TargetMode="External"/><Relationship Id="rId14" Type="http://schemas.openxmlformats.org/officeDocument/2006/relationships/hyperlink" Target="https://appsso.eurostat.ec.europa.eu/nui/show.do?dataset=apro_mt_lscatl&amp;lang=en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CA884-CD71-44B6-8653-D80E89094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3096</TotalTime>
  <Pages>1</Pages>
  <Words>3395</Words>
  <Characters>19355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Schiavo</dc:creator>
  <cp:keywords/>
  <dc:description/>
  <cp:lastModifiedBy>Alessio Schiavo</cp:lastModifiedBy>
  <cp:revision>287</cp:revision>
  <cp:lastPrinted>2019-11-30T09:23:00Z</cp:lastPrinted>
  <dcterms:created xsi:type="dcterms:W3CDTF">2019-11-25T14:38:00Z</dcterms:created>
  <dcterms:modified xsi:type="dcterms:W3CDTF">2019-11-30T09:23:00Z</dcterms:modified>
</cp:coreProperties>
</file>