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</w:pPr>
      <w:r>
        <w:rPr>
          <w:rtl w:val="0"/>
        </w:rPr>
        <w:t>User-Role Import</w:t>
      </w:r>
      <w:r>
        <w:rPr>
          <w:rtl w:val="0"/>
        </w:rPr>
        <w:t xml:space="preserve"> Script - High-level Design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The purpose of this document is to describe the overall design for a script to handle </w:t>
      </w:r>
      <w:r>
        <w:rPr>
          <w:rtl w:val="0"/>
        </w:rPr>
        <w:t>importing User and Role data into</w:t>
      </w:r>
      <w:r>
        <w:rPr>
          <w:rtl w:val="0"/>
        </w:rPr>
        <w:t xml:space="preserve"> the Kenna Platform.</w:t>
      </w:r>
      <w:r>
        <w:rPr>
          <w:rtl w:val="0"/>
        </w:rPr>
        <w:t xml:space="preserve"> The source of this information could be from Active Directory, or any other Identity Management source system.</w:t>
      </w:r>
    </w:p>
    <w:p>
      <w:pPr>
        <w:pStyle w:val="Heading 3"/>
      </w:pPr>
      <w:r>
        <w:rPr>
          <w:rtl w:val="0"/>
        </w:rPr>
        <w:t>Ruby Environment Requirements:</w:t>
      </w:r>
    </w:p>
    <w:p>
      <w:pPr>
        <w:pStyle w:val="Body A"/>
      </w:pPr>
    </w:p>
    <w:p>
      <w:pPr>
        <w:pStyle w:val="Body A"/>
      </w:pPr>
      <w:r>
        <w:rPr>
          <w:rtl w:val="0"/>
        </w:rPr>
        <w:t>Kenna Sample Scripts can be run from any standard Ruby environment. For most customers this can be accomplished using a Windows or Linux VM within their existing VMWare/Hypervisor environment.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OS:</w:t>
      </w:r>
      <w:r>
        <w:rPr>
          <w:rtl w:val="0"/>
          <w:lang w:val="en-US"/>
        </w:rPr>
        <w:t xml:space="preserve"> Windows/Linux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Memory:</w:t>
      </w:r>
      <w:r>
        <w:rPr>
          <w:rtl w:val="0"/>
          <w:lang w:val="en-US"/>
        </w:rPr>
        <w:t xml:space="preserve"> No specific RAM requirements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Disk:</w:t>
      </w:r>
      <w:r>
        <w:rPr>
          <w:rtl w:val="0"/>
          <w:lang w:val="en-US"/>
        </w:rPr>
        <w:t xml:space="preserve"> No specific Disk Space Requirements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Ruby:</w:t>
      </w:r>
      <w:r>
        <w:rPr>
          <w:rtl w:val="0"/>
          <w:lang w:val="en-US"/>
        </w:rPr>
        <w:t xml:space="preserve"> Latest version of Ruby installed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"https://www.ruby-lang.org/en/"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https://www.ruby-lang.org/en/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Ruby GEMS:</w:t>
      </w:r>
      <w:r>
        <w:rPr>
          <w:rtl w:val="0"/>
          <w:lang w:val="en-US"/>
        </w:rPr>
        <w:t xml:space="preserve"> these are normally dependent on which are required by the specific script but the following are the most common. Instructions on how to install gems can be found here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"https://guides.rubygems.org/rubygems-basics/"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https://guides.rubygems.org/rubygems-basics/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rest-client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json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csv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HTTPS access to the Kenna API:</w:t>
      </w:r>
      <w:r>
        <w:rPr>
          <w:rtl w:val="0"/>
          <w:lang w:val="en-US"/>
        </w:rPr>
        <w:t xml:space="preserve">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"https://api.kennasecurity.com/"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https://api.kennasecurity.com/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Scheduler:</w:t>
      </w:r>
      <w:r>
        <w:rPr>
          <w:rtl w:val="0"/>
          <w:lang w:val="en-US"/>
        </w:rPr>
        <w:t xml:space="preserve"> for running script at specific times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This can normally be handled through the built-in schedulers on the specific OS (Windows: Scheduled Tasks; Linux: cron)</w:t>
      </w:r>
    </w:p>
    <w:p>
      <w:pPr>
        <w:pStyle w:val="Heading 3"/>
      </w:pPr>
      <w:r>
        <w:rPr>
          <w:rtl w:val="0"/>
        </w:rPr>
        <w:t>Running Scripts:</w:t>
      </w:r>
    </w:p>
    <w:p>
      <w:pPr>
        <w:pStyle w:val="Body A"/>
      </w:pPr>
    </w:p>
    <w:p>
      <w:pPr>
        <w:pStyle w:val="Body A"/>
      </w:pPr>
      <w:r>
        <w:rPr>
          <w:rtl w:val="0"/>
        </w:rPr>
        <w:t>Kenna Sample Scripts are run from the command line and typically follow the same pattern for being called:</w:t>
      </w:r>
    </w:p>
    <w:p>
      <w:pPr>
        <w:pStyle w:val="Body A"/>
        <w:jc w:val="center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ruby &lt;api token&gt; &lt;script-specific list of parameters&gt;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Parameters for the </w:t>
      </w:r>
      <w:r>
        <w:rPr>
          <w:rStyle w:val="None"/>
          <w:b w:val="1"/>
          <w:bCs w:val="1"/>
          <w:i w:val="1"/>
          <w:iCs w:val="1"/>
          <w:rtl w:val="0"/>
          <w:lang w:val="en-US"/>
        </w:rPr>
        <w:t>User-Role-Sync.rb</w:t>
      </w:r>
      <w:r>
        <w:rPr>
          <w:rtl w:val="0"/>
        </w:rPr>
        <w:t xml:space="preserve"> script are shown below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32"/>
        <w:gridCol w:w="7008"/>
      </w:tblGrid>
      <w:tr>
        <w:tblPrEx>
          <w:shd w:val="clear" w:color="auto" w:fill="00a2ff"/>
        </w:tblPrEx>
        <w:trPr>
          <w:trHeight w:val="294" w:hRule="atLeast"/>
          <w:tblHeader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Parameter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294" w:hRule="atLeast"/>
        </w:trPr>
        <w:tc>
          <w:tcPr>
            <w:tcW w:type="dxa" w:w="23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api token</w:t>
            </w:r>
          </w:p>
        </w:tc>
        <w:tc>
          <w:tcPr>
            <w:tcW w:type="dxa" w:w="700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User specific token to access the Kenna API.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CSV File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File that contains the User/Role data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Email Column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Column in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CSV File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that contains the EMAIL from the user.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First Name Column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Column in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CSV File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that contains the FIRSTNAME from the user.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Last Name Column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Column in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CSV File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that contains the LASTNAME from the user.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Role Column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Column in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CSV File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that contains the ROLE from the user.</w:t>
            </w:r>
          </w:p>
        </w:tc>
      </w:tr>
      <w:tr>
        <w:tblPrEx>
          <w:shd w:val="clear" w:color="auto" w:fill="cadfff"/>
        </w:tblPrEx>
        <w:trPr>
          <w:trHeight w:val="274" w:hRule="atLeast"/>
        </w:trPr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Proxy Address</w:t>
            </w:r>
          </w:p>
        </w:tc>
        <w:tc>
          <w:tcPr>
            <w:tcW w:type="dxa" w:w="700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(Optional) Proxy Parameter.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Note:</w:t>
      </w:r>
      <w:r>
        <w:rPr>
          <w:rtl w:val="0"/>
        </w:rPr>
        <w:t xml:space="preserve"> Storage and management of keys to be determined by customer</w:t>
      </w:r>
      <w:r>
        <w:rPr>
          <w:rtl w:val="0"/>
        </w:rPr>
        <w:t>’</w:t>
      </w:r>
      <w:r>
        <w:rPr>
          <w:rtl w:val="0"/>
        </w:rPr>
        <w:t>s internal teams.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r>
        <w:rPr>
          <w:rtl w:val="0"/>
        </w:rPr>
        <w:t>Overall Data Flow:</w:t>
      </w:r>
    </w:p>
    <w:p>
      <w:pPr>
        <w:pStyle w:val="Body A"/>
        <w:jc w:val="center"/>
      </w:pPr>
    </w:p>
    <w:p>
      <w:pPr>
        <w:pStyle w:val="Body A"/>
        <w:jc w:val="center"/>
      </w:pPr>
      <w:r>
        <w:drawing>
          <wp:inline distT="0" distB="0" distL="0" distR="0">
            <wp:extent cx="3854446" cy="221492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46" cy="2214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</w:pPr>
    </w:p>
    <w:p>
      <w:pPr>
        <w:pStyle w:val="Heading 3"/>
      </w:pPr>
      <w:r>
        <w:rPr>
          <w:rtl w:val="0"/>
        </w:rPr>
        <w:t>Identity Management</w:t>
      </w:r>
      <w:r>
        <w:rPr>
          <w:rtl w:val="0"/>
        </w:rPr>
        <w:t xml:space="preserve"> Script: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most cases a script or other automated process would need to be developed internally to produce the input file for this script</w:t>
      </w:r>
      <w:r>
        <w:rPr>
          <w:rtl w:val="0"/>
        </w:rPr>
        <w:t>.</w:t>
      </w:r>
      <w:r>
        <w:rPr>
          <w:rtl w:val="0"/>
        </w:rPr>
        <w:t xml:space="preserve"> The specific requirements of this script is completely up to the specific customer.</w:t>
      </w:r>
    </w:p>
    <w:p>
      <w:pPr>
        <w:pStyle w:val="Body A"/>
      </w:pPr>
    </w:p>
    <w:p>
      <w:pPr>
        <w:pStyle w:val="Body A"/>
      </w:pPr>
    </w:p>
    <w:p>
      <w:pPr>
        <w:pStyle w:val="Heading 3"/>
      </w:pPr>
      <w:r>
        <w:rPr>
          <w:rtl w:val="0"/>
        </w:rPr>
        <w:t>CSV File</w:t>
      </w:r>
    </w:p>
    <w:p>
      <w:pPr>
        <w:pStyle w:val="Body A"/>
      </w:pPr>
      <w:r>
        <w:rPr>
          <w:rtl w:val="0"/>
        </w:rPr>
        <w:t>This CSV file will be the data exchange between the GWL AD Script and the Kenna User Sync Script.  The CSV file will have the following format.</w:t>
      </w:r>
    </w:p>
    <w:p>
      <w:pPr>
        <w:pStyle w:val="Body A"/>
        <w:jc w:val="center"/>
      </w:pPr>
    </w:p>
    <w:tbl>
      <w:tblPr>
        <w:tblW w:w="93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57"/>
        <w:gridCol w:w="1954"/>
        <w:gridCol w:w="2537"/>
        <w:gridCol w:w="2612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tl w:val="0"/>
                <w:lang w:val="en-US"/>
              </w:rPr>
              <w:t>EmailAddress</w:t>
            </w:r>
          </w:p>
        </w:tc>
        <w:tc>
          <w:tcPr>
            <w:tcW w:type="dxa" w:w="19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tl w:val="0"/>
                <w:lang w:val="en-US"/>
              </w:rPr>
              <w:t>FirstName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tl w:val="0"/>
                <w:lang w:val="de-DE"/>
              </w:rPr>
              <w:t>LastName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tl w:val="0"/>
                <w:lang w:val="fr-FR"/>
              </w:rPr>
              <w:t>ADGroup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2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user1@example.com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User1</w:t>
            </w:r>
          </w:p>
        </w:tc>
        <w:tc>
          <w:tcPr>
            <w:tcW w:type="dxa" w:w="253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FirstLast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fr-FR"/>
              </w:rPr>
              <w:t>ADGroup1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user2@example.com</w:t>
            </w:r>
          </w:p>
        </w:tc>
        <w:tc>
          <w:tcPr>
            <w:tcW w:type="dxa" w:w="19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User2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it-IT"/>
              </w:rPr>
              <w:t>SecondLast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fr-FR"/>
              </w:rPr>
              <w:t>ADGroup1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user3@example.com</w:t>
            </w:r>
          </w:p>
        </w:tc>
        <w:tc>
          <w:tcPr>
            <w:tcW w:type="dxa" w:w="19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User3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ThirdLast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fr-FR"/>
              </w:rPr>
              <w:t>ADGroup2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user4@example.com</w:t>
            </w:r>
          </w:p>
        </w:tc>
        <w:tc>
          <w:tcPr>
            <w:tcW w:type="dxa" w:w="19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User4</w:t>
            </w:r>
          </w:p>
        </w:tc>
        <w:tc>
          <w:tcPr>
            <w:tcW w:type="dxa" w:w="2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en-US"/>
              </w:rPr>
              <w:t>FourthLast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cs="Arial Unicode MS" w:eastAsia="Arial Unicode MS"/>
                <w:rtl w:val="0"/>
                <w:lang w:val="fr-FR"/>
              </w:rPr>
              <w:t>ADGroup2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</w:pPr>
    </w:p>
    <w:p>
      <w:pPr>
        <w:pStyle w:val="Heading 3"/>
      </w:pPr>
      <w:r>
        <w:rPr>
          <w:rtl w:val="0"/>
        </w:rPr>
        <w:t>Kenna User Sync Script</w:t>
      </w:r>
    </w:p>
    <w:p>
      <w:pPr>
        <w:pStyle w:val="Body A"/>
      </w:pPr>
      <w:r>
        <w:rPr>
          <w:rtl w:val="0"/>
        </w:rPr>
        <w:t xml:space="preserve">This script will be responsible for adding synchronizing the users between Kenna and the CSV file provided by the </w:t>
      </w:r>
      <w:r>
        <w:rPr>
          <w:rtl w:val="0"/>
        </w:rPr>
        <w:t>customers Identity Mgmt system.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Assumptions: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If the ADGroup does not exist as a role within </w:t>
      </w:r>
      <w:r>
        <w:rPr>
          <w:rtl w:val="0"/>
          <w:lang w:val="en-US"/>
        </w:rPr>
        <w:t>the customer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Kenna instance, a new read-only role will be created within Kenna that will have no Asset Groups.  </w:t>
      </w:r>
      <w:r>
        <w:rPr>
          <w:rtl w:val="0"/>
          <w:lang w:val="en-US"/>
        </w:rPr>
        <w:t>The customer</w:t>
      </w:r>
      <w:r>
        <w:rPr>
          <w:rtl w:val="0"/>
          <w:lang w:val="en-US"/>
        </w:rPr>
        <w:t xml:space="preserve"> will be responsible for making the needed adjustments to the new group.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Roles within Kenna will be named to match the ADGroup Names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Script Logic:</w:t>
      </w:r>
    </w:p>
    <w:p>
      <w:pPr>
        <w:pStyle w:val="Body A"/>
      </w:pPr>
      <w:r>
        <w:rPr>
          <w:rtl w:val="0"/>
        </w:rPr>
        <w:t>Below is the logic that the script will perform in bringing the users and roles into Kenna.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2459847</wp:posOffset>
            </wp:positionH>
            <wp:positionV relativeFrom="line">
              <wp:posOffset>296904</wp:posOffset>
            </wp:positionV>
            <wp:extent cx="2840004" cy="5943600"/>
            <wp:effectExtent l="0" t="0" r="0" b="0"/>
            <wp:wrapThrough wrapText="bothSides" distL="152400" distR="152400">
              <wp:wrapPolygon edited="1">
                <wp:start x="0" y="0"/>
                <wp:lineTo x="21631" y="0"/>
                <wp:lineTo x="21631" y="21621"/>
                <wp:lineTo x="0" y="2162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0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