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Guión de presentación SEDFGEY – Equipo 2</w:t>
      </w:r>
    </w:p>
    <w:p>
      <w:pPr/>
      <w:r>
        <w:t xml:space="preserve">Sistema de Evaluación de Desempeño de la FGE · Programación Orientada a Objetos</w:t>
      </w:r>
    </w:p>
    <w:p>
      <w:pPr/>
      <w:r>
        <w:rPr>
          <w:b/>
          <w:bCs/>
        </w:rPr>
        <w:t xml:space="preserve">Duración estimada:</w:t>
      </w:r>
      <w:r>
        <w:t xml:space="preserve"> 4:40 min · </w:t>
      </w:r>
      <w:r>
        <w:rPr>
          <w:b/>
          <w:bCs/>
        </w:rPr>
        <w:t xml:space="preserve">Integrantes:</w:t>
      </w:r>
      <w:r>
        <w:t xml:space="preserve"> 6 · Calculado a ~140 palabras por minuto, con margen para transiciones.</w:t>
      </w:r>
    </w:p>
    <w:p>
      <w:pPr>
        <w:pStyle w:val="Heading2"/>
      </w:pPr>
      <w:r>
        <w:t xml:space="preserve">Integrante 1 · Diapositivas 1 y 2 (≈ 45 s)</w:t>
      </w:r>
    </w:p>
    <w:p>
      <w:pPr/>
      <w:r>
        <w:t xml:space="preserve">Buen día. Somos el Equipo 2 y les presentamos la evolución de </w:t>
      </w:r>
      <w:r>
        <w:rPr>
          <w:b/>
          <w:bCs/>
        </w:rPr>
        <w:t xml:space="preserve">SEDFGEY</w:t>
      </w:r>
      <w:r>
        <w:t xml:space="preserve">, el Sistema de Evaluación de Desempeño de la FGE, desarrollado para Programación Orientada a Objetos.</w:t>
      </w:r>
    </w:p>
    <w:p>
      <w:pPr/>
      <w:r>
        <w:t xml:space="preserve">Entre la primera y la segunda entrega, lo primero fue </w:t>
      </w:r>
      <w:r>
        <w:rPr>
          <w:b/>
          <w:bCs/>
        </w:rPr>
        <w:t xml:space="preserve">definir mejor el alcance</w:t>
      </w:r>
      <w:r>
        <w:t xml:space="preserve">. Aclaramos el público objetivo según la jerarquía de la FGE: directores, jefes y personal operativo y administrativo. También incorporamos reglas reales del proceso: solo se evalúa a quien tenga seis meses o más de antigüedad, y se permite una sola evaluación por periodo de 30 días.</w:t>
      </w:r>
    </w:p>
    <w:p>
      <w:pPr/>
      <w:r>
        <w:t xml:space="preserve">Además, el acceso es exclusivo desde la red institucional, con validación del RFC sin homoclave y el código numérico de empleado. Mi compañero les explica los perfiles.</w:t>
      </w:r>
    </w:p>
    <w:p>
      <w:pPr>
        <w:pStyle w:val="Heading2"/>
      </w:pPr>
      <w:r>
        <w:t xml:space="preserve">Integrante 2 · Diapositiva 3 (≈ 45 s)</w:t>
      </w:r>
    </w:p>
    <w:p>
      <w:pPr/>
      <w:r>
        <w:t xml:space="preserve">Con ese alcance, delimitamos los </w:t>
      </w:r>
      <w:r>
        <w:rPr>
          <w:b/>
          <w:bCs/>
        </w:rPr>
        <w:t xml:space="preserve">perfiles de usuario</w:t>
      </w:r>
      <w:r>
        <w:t xml:space="preserve">.</w:t>
      </w:r>
    </w:p>
    <w:p>
      <w:pPr/>
      <w:r>
        <w:t xml:space="preserve">La Directora de Administración es la superusuaria: es la única con privilegios para consultar, generar, imprimir y guardar los reportes de toda la institución.</w:t>
      </w:r>
    </w:p>
    <w:p>
      <w:pPr/>
      <w:r>
        <w:t xml:space="preserve">Los directores y jefes, como evaluadores, solo pueden habilitar formularios para el personal de su línea jerárquica directa. Y los servidores públicos únicamente acceden a su propia autoevaluación dentro del periodo establecido.</w:t>
      </w:r>
    </w:p>
    <w:p>
      <w:pPr/>
      <w:r>
        <w:t xml:space="preserve">Todo esto está alineado con el Aviso de Privacidad y el Reglamento del Servicio Profesional de Carrera de la FGE. Ahora, mi compañera les cuenta cómo reestructuramos los requisitos.</w:t>
      </w:r>
    </w:p>
    <w:p>
      <w:pPr>
        <w:pStyle w:val="Heading2"/>
      </w:pPr>
      <w:r>
        <w:t xml:space="preserve">Integrante 3 · Diapositivas 4 y 5 (≈ 55 s)</w:t>
      </w:r>
    </w:p>
    <w:p>
      <w:pPr/>
      <w:r>
        <w:t xml:space="preserve">En los </w:t>
      </w:r>
      <w:r>
        <w:rPr>
          <w:b/>
          <w:bCs/>
        </w:rPr>
        <w:t xml:space="preserve">requisitos</w:t>
      </w:r>
      <w:r>
        <w:t xml:space="preserve"> eliminamos los que consideramos innecesarios o difíciles de lograr en seis meses. Pasamos de 12 requisitos funcionales a </w:t>
      </w:r>
      <w:r>
        <w:rPr>
          <w:b/>
          <w:bCs/>
        </w:rPr>
        <w:t xml:space="preserve">8, del RF 01 al RF 08</w:t>
      </w:r>
      <w:r>
        <w:t xml:space="preserve">, enfocados en el alcance real. Los no funcionales antes eran una lista sin estructura; ahora están divididos en categorías técnicas: rendimiento y concurrencia, seguridad y restricción de red, fiabilidad y disponibilidad, y mantenibilidad, portabilidad e interfaces.</w:t>
      </w:r>
    </w:p>
    <w:p>
      <w:pPr/>
      <w:r>
        <w:t xml:space="preserve">En las </w:t>
      </w:r>
      <w:r>
        <w:rPr>
          <w:b/>
          <w:bCs/>
        </w:rPr>
        <w:t xml:space="preserve">historias de usuario</w:t>
      </w:r>
      <w:r>
        <w:t xml:space="preserve"> pasamos de 20, muy fragmentadas, a </w:t>
      </w:r>
      <w:r>
        <w:rPr>
          <w:b/>
          <w:bCs/>
        </w:rPr>
        <w:t xml:space="preserve">9 consolidadas</w:t>
      </w:r>
      <w:r>
        <w:t xml:space="preserve">, agrupando funciones relacionadas. Y ahora cada historia incluye una columna de </w:t>
      </w:r>
      <w:r>
        <w:rPr>
          <w:b/>
          <w:bCs/>
        </w:rPr>
        <w:t xml:space="preserve">criterios de aceptación</w:t>
      </w:r>
      <w:r>
        <w:t xml:space="preserve">, que antes no existía.</w:t>
      </w:r>
    </w:p>
    <w:p>
      <w:pPr>
        <w:pStyle w:val="Heading2"/>
      </w:pPr>
      <w:r>
        <w:t xml:space="preserve">Integrante 4 · Diapositiva 6 (≈ 40 s)</w:t>
      </w:r>
    </w:p>
    <w:p>
      <w:pPr/>
      <w:r>
        <w:t xml:space="preserve">En los </w:t>
      </w:r>
      <w:r>
        <w:rPr>
          <w:b/>
          <w:bCs/>
        </w:rPr>
        <w:t xml:space="preserve">casos de uso</w:t>
      </w:r>
      <w:r>
        <w:t xml:space="preserve">, la primera entrega tenía un diagrama base con etiquetas de requerimientos y algunos elementos duplicados.</w:t>
      </w:r>
    </w:p>
    <w:p>
      <w:pPr/>
      <w:r>
        <w:t xml:space="preserve">En la segunda entrega lo depuramos y lo rediseñamos con un estilo más limpio y formal. Mantuvimos a los tres actores clave: el Administrador, que registra y administra usuarios, consulta resultados y visualiza gráficas; el Director, que evalúa el desempeño; y los Fiscales 47, que se autoevalúan.</w:t>
      </w:r>
    </w:p>
    <w:p>
      <w:pPr/>
      <w:r>
        <w:t xml:space="preserve">Con esto quedó un diagrama ordenado y consistente con los requisitos. Sigue el diseño de la arquitectura.</w:t>
      </w:r>
    </w:p>
    <w:p>
      <w:pPr>
        <w:pStyle w:val="Heading2"/>
      </w:pPr>
      <w:r>
        <w:t xml:space="preserve">Integrante 5 · Diapositivas 7 y 8 (≈ 65 s)</w:t>
      </w:r>
    </w:p>
    <w:p>
      <w:pPr/>
      <w:r>
        <w:t xml:space="preserve">Para el </w:t>
      </w:r>
      <w:r>
        <w:rPr>
          <w:b/>
          <w:bCs/>
        </w:rPr>
        <w:t xml:space="preserve">diseño</w:t>
      </w:r>
      <w:r>
        <w:t xml:space="preserve"> usamos el patrón </w:t>
      </w:r>
      <w:r>
        <w:rPr>
          <w:b/>
          <w:bCs/>
        </w:rPr>
        <w:t xml:space="preserve">MVC en Java con Maven</w:t>
      </w:r>
      <w:r>
        <w:t xml:space="preserve">. El Modelo contiene Usuario, Evaluación y Reporte; la Vista son las interfaces por rol; y el Controlador concentra la lógica. También elaboramos una matriz de correspondencia que vincula cada requisito con las clases del sistema, lo que nos da trazabilidad completa.</w:t>
      </w:r>
    </w:p>
    <w:p>
      <w:pPr/>
      <w:r>
        <w:t xml:space="preserve">En el </w:t>
      </w:r>
      <w:r>
        <w:rPr>
          <w:b/>
          <w:bCs/>
        </w:rPr>
        <w:t xml:space="preserve">diagrama de clases</w:t>
      </w:r>
      <w:r>
        <w:t xml:space="preserve">, Administrador hereda de Usuario. Un usuario realiza evaluaciones, y cada evaluación está regida por un PeriodoEvaluación, que valida la vigencia y el plazo de 30 días. La Evaluación contiene Indicadores, y cada indicador recibe su Respuesta. Por último, el Administrador genera la clase Reporte para exportar e imprimir los resultados.</w:t>
      </w:r>
    </w:p>
    <w:p>
      <w:pPr>
        <w:pStyle w:val="Heading2"/>
      </w:pPr>
      <w:r>
        <w:t xml:space="preserve">Integrante 6 · Diapositivas 9 y 10 (≈ 50 s)</w:t>
      </w:r>
    </w:p>
    <w:p>
      <w:pPr/>
      <w:r>
        <w:t xml:space="preserve">Para organizarnos trabajamos con </w:t>
      </w:r>
      <w:r>
        <w:rPr>
          <w:b/>
          <w:bCs/>
        </w:rPr>
        <w:t xml:space="preserve">Scrum en cuatro sprints</w:t>
      </w:r>
      <w:r>
        <w:t xml:space="preserve">, apoyados en GitHub Issues y ramas.</w:t>
      </w:r>
    </w:p>
    <w:p>
      <w:pPr/>
      <w:r>
        <w:t xml:space="preserve">En el Sprint 1 reestructuramos requisitos, historias de usuario y casos de uso. En el Sprint 2 actualizamos el diagrama de clases y la tabla de correspondencia. En el Sprint 3 implementamos la arquitectura base en MVC y preparamos los materiales de presentación. Y en el Sprint 4, el cierre, grabamos el video, documentamos competencias y calculamos las métricas individuales.</w:t>
      </w:r>
    </w:p>
    <w:p>
      <w:pPr/>
      <w:r>
        <w:t xml:space="preserve">Así, SEDFGEY pasó de una idea general a un proyecto con alcance definido, diseño sólido y trazabilidad. Muchas gracias por su atención.</w:t>
      </w:r>
    </w:p>
    <w:p>
      <w:pPr>
        <w:pStyle w:val="Heading2"/>
      </w:pPr>
      <w:r>
        <w:t xml:space="preserve">Tiempo estimado</w:t>
      </w:r>
    </w:p>
    <w:tbl>
      <w:tblPr>
        <w:tblStyle w:val="TableGrid"/>
        <w:tblW w:w="0" w:type="auto"/>
        <w:tblLayout w:type="fixed"/>
        <w:tblLook w:val="04A0" w:firstRow="1" w:lastRow="0" w:firstColumn="0" w:lastColumn="0" w:noHBand="0" w:noVBand="1"/>
      </w:tblPr>
      <w:tblGrid>
        <w:gridCol w:w="3084"/>
        <w:gridCol w:w="3756"/>
        <w:gridCol w:w="2519"/>
      </w:tblGrid>
      <w:tr>
        <w:trPr>
          <w:tblHeader/>
        </w:trPr>
        <w:tc>
          <w:tcPr>
            <w:tcW w:w="3084" w:type="dxa"/>
            <w:shd w:val="clear" w:color="auto" w:fill="F2F2F2"/>
          </w:tcPr>
          <w:p>
            <w:pPr/>
            <w:r>
              <w:t xml:space="preserve">Integrante</w:t>
            </w:r>
          </w:p>
        </w:tc>
        <w:tc>
          <w:tcPr>
            <w:tcW w:w="3756" w:type="dxa"/>
            <w:shd w:val="clear" w:color="auto" w:fill="F2F2F2"/>
          </w:tcPr>
          <w:p>
            <w:pPr/>
            <w:r>
              <w:t xml:space="preserve">Diapositivas</w:t>
            </w:r>
          </w:p>
        </w:tc>
        <w:tc>
          <w:tcPr>
            <w:tcW w:w="2519" w:type="dxa"/>
            <w:shd w:val="clear" w:color="auto" w:fill="F2F2F2"/>
          </w:tcPr>
          <w:p>
            <w:pPr/>
            <w:r>
              <w:t xml:space="preserve">Tiempo</w:t>
            </w:r>
          </w:p>
        </w:tc>
      </w:tr>
      <w:tr>
        <w:tc>
          <w:tcPr>
            <w:tcW w:w="3084" w:type="dxa"/>
          </w:tcPr>
          <w:p>
            <w:pPr/>
            <w:r>
              <w:t xml:space="preserve">1</w:t>
            </w:r>
          </w:p>
        </w:tc>
        <w:tc>
          <w:tcPr>
            <w:tcW w:w="3756" w:type="dxa"/>
          </w:tcPr>
          <w:p>
            <w:pPr/>
            <w:r>
              <w:t xml:space="preserve">1-2</w:t>
            </w:r>
          </w:p>
        </w:tc>
        <w:tc>
          <w:tcPr>
            <w:tcW w:w="2519" w:type="dxa"/>
          </w:tcPr>
          <w:p>
            <w:pPr/>
            <w:r>
              <w:t xml:space="preserve">45 s</w:t>
            </w:r>
          </w:p>
        </w:tc>
      </w:tr>
      <w:tr>
        <w:tc>
          <w:tcPr>
            <w:tcW w:w="3084" w:type="dxa"/>
          </w:tcPr>
          <w:p>
            <w:pPr/>
            <w:r>
              <w:t xml:space="preserve">2</w:t>
            </w:r>
          </w:p>
        </w:tc>
        <w:tc>
          <w:tcPr>
            <w:tcW w:w="3756" w:type="dxa"/>
          </w:tcPr>
          <w:p>
            <w:pPr/>
            <w:r>
              <w:t xml:space="preserve">3</w:t>
            </w:r>
          </w:p>
        </w:tc>
        <w:tc>
          <w:tcPr>
            <w:tcW w:w="2519" w:type="dxa"/>
          </w:tcPr>
          <w:p>
            <w:pPr/>
            <w:r>
              <w:t xml:space="preserve">45 s</w:t>
            </w:r>
          </w:p>
        </w:tc>
      </w:tr>
      <w:tr>
        <w:tc>
          <w:tcPr>
            <w:tcW w:w="3084" w:type="dxa"/>
          </w:tcPr>
          <w:p>
            <w:pPr/>
            <w:r>
              <w:t xml:space="preserve">3</w:t>
            </w:r>
          </w:p>
        </w:tc>
        <w:tc>
          <w:tcPr>
            <w:tcW w:w="3756" w:type="dxa"/>
          </w:tcPr>
          <w:p>
            <w:pPr/>
            <w:r>
              <w:t xml:space="preserve">4-5</w:t>
            </w:r>
          </w:p>
        </w:tc>
        <w:tc>
          <w:tcPr>
            <w:tcW w:w="2519" w:type="dxa"/>
          </w:tcPr>
          <w:p>
            <w:pPr/>
            <w:r>
              <w:t xml:space="preserve">55 s</w:t>
            </w:r>
          </w:p>
        </w:tc>
      </w:tr>
      <w:tr>
        <w:tc>
          <w:tcPr>
            <w:tcW w:w="3084" w:type="dxa"/>
          </w:tcPr>
          <w:p>
            <w:pPr/>
            <w:r>
              <w:t xml:space="preserve">4</w:t>
            </w:r>
          </w:p>
        </w:tc>
        <w:tc>
          <w:tcPr>
            <w:tcW w:w="3756" w:type="dxa"/>
          </w:tcPr>
          <w:p>
            <w:pPr/>
            <w:r>
              <w:t xml:space="preserve">6</w:t>
            </w:r>
          </w:p>
        </w:tc>
        <w:tc>
          <w:tcPr>
            <w:tcW w:w="2519" w:type="dxa"/>
          </w:tcPr>
          <w:p>
            <w:pPr/>
            <w:r>
              <w:t xml:space="preserve">40 s</w:t>
            </w:r>
          </w:p>
        </w:tc>
      </w:tr>
      <w:tr>
        <w:tc>
          <w:tcPr>
            <w:tcW w:w="3084" w:type="dxa"/>
          </w:tcPr>
          <w:p>
            <w:pPr/>
            <w:r>
              <w:t xml:space="preserve">5</w:t>
            </w:r>
          </w:p>
        </w:tc>
        <w:tc>
          <w:tcPr>
            <w:tcW w:w="3756" w:type="dxa"/>
          </w:tcPr>
          <w:p>
            <w:pPr/>
            <w:r>
              <w:t xml:space="preserve">7-8</w:t>
            </w:r>
          </w:p>
        </w:tc>
        <w:tc>
          <w:tcPr>
            <w:tcW w:w="2519" w:type="dxa"/>
          </w:tcPr>
          <w:p>
            <w:pPr/>
            <w:r>
              <w:t xml:space="preserve">65 s</w:t>
            </w:r>
          </w:p>
        </w:tc>
      </w:tr>
      <w:tr>
        <w:tc>
          <w:tcPr>
            <w:tcW w:w="3084" w:type="dxa"/>
          </w:tcPr>
          <w:p>
            <w:pPr/>
            <w:r>
              <w:t xml:space="preserve">6</w:t>
            </w:r>
          </w:p>
        </w:tc>
        <w:tc>
          <w:tcPr>
            <w:tcW w:w="3756" w:type="dxa"/>
          </w:tcPr>
          <w:p>
            <w:pPr/>
            <w:r>
              <w:t xml:space="preserve">9-10</w:t>
            </w:r>
          </w:p>
        </w:tc>
        <w:tc>
          <w:tcPr>
            <w:tcW w:w="2519" w:type="dxa"/>
          </w:tcPr>
          <w:p>
            <w:pPr/>
            <w:r>
              <w:t xml:space="preserve">50 s</w:t>
            </w:r>
          </w:p>
        </w:tc>
      </w:tr>
      <w:tr>
        <w:tc>
          <w:tcPr>
            <w:tcW w:w="3084" w:type="dxa"/>
          </w:tcPr>
          <w:p>
            <w:pPr/>
            <w:r>
              <w:rPr>
                <w:b/>
                <w:bCs/>
              </w:rPr>
              <w:t xml:space="preserve">Total</w:t>
            </w:r>
          </w:p>
        </w:tc>
        <w:tc>
          <w:tcPr>
            <w:tcW w:w="3756" w:type="dxa"/>
          </w:tcPr>
          <w:p>
            <w:pPr/>
          </w:p>
        </w:tc>
        <w:tc>
          <w:tcPr>
            <w:tcW w:w="2519" w:type="dxa"/>
          </w:tcPr>
          <w:p>
            <w:pPr/>
            <w:r>
              <w:rPr>
                <w:b/>
                <w:bCs/>
              </w:rPr>
              <w:t xml:space="preserve">≈ 4:40</w:t>
            </w:r>
          </w:p>
        </w:tc>
      </w:tr>
    </w:tbl>
    <w:p>
      <w:pPr/>
      <w:r>
        <w:t xml:space="preserve">Quedan unos 20 segundos de margen para los cambios de turno. Si al ensayar se pasan de tiempo, lo más fácil de recortar es el detalle de las categorías de RNF (Integrante 3) o la descripción de las relaciones del diagrama (Integrante 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Guión de presentación SEDFGEY – Equipo 2</dc:title>
  <dc:description>Claude Docs node/ca38e54a-c96a@1 docx-w8</dc:description>
  <cp:revision>1</cp:revision>
</cp:coreProperties>
</file>