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pPr>
        <w:pStyle w:val="Titolo2"/>
      </w:pPr>
      <w:r>
        <w:t>C.13 Ciclo Cybersec endpoint governance, e la fuga dai nomi dei file (2026-07-28)</w:t>
      </w:r>
    </w:p>
    <w:p>
      <w:pPr/>
      <w:r>
        <w:t>Il quarto ciclo di ingest è nato con un obiettivo dichiarato oltre a quello ordinario: verificare sul campo se le correzioni al routing fatte il giorno prima reggessero su un corpus nuovo. La risposta è sì, ma il ciclo ha scoperto tre difetti che nessuna delle verifiche precedenti aveva intercettato, e uno dei tre era una fuga di dati vera nel repository pubblico.</w:t>
      </w:r>
    </w:p>
    <w:p>
      <w:pPr>
        <w:pStyle w:val="Titolo3"/>
      </w:pPr>
      <w:r>
        <w:t>La selezione, e cosa è stato tenuto fuori</w:t>
      </w:r>
    </w:p>
    <w:p>
      <w:pPr/>
      <w:r>
        <w:t xml:space="preserve">Il segmento </w:t>
      </w:r>
      <w:r>
        <w:rPr>
          <w:i/>
        </w:rPr>
        <w:t>Cybersecurity &amp; IT Governance</w:t>
      </w:r>
      <w:r>
        <w:t xml:space="preserve"> della sorgente OneDrive conta quattrocentocinquanta file testuali, dei quali nove erano stati lavorati nel ciclo di luglio. La selezione di questo ciclo prende </w:t>
      </w:r>
      <w:r>
        <w:rPr>
          <w:rFonts w:ascii="Consolas" w:hAnsi="Consolas"/>
        </w:rPr>
        <w:t>_Bitdefender (endpoint security)</w:t>
      </w:r>
      <w:r>
        <w:t xml:space="preserve"> per intero, sei documenti su migrazione da ESET a Bitdefender, protezione LAN ed eccezioni endpoint, e vi aggiunge tre documenti di governance non problematici pescati dal blocco GDPR e ISO27001: la politica PSGSI di sicurezza delle informazioni, un template ISO27001 e un brief su DORA.</w:t>
      </w:r>
    </w:p>
    <w:p>
      <w:pPr/>
      <w:r>
        <w:t xml:space="preserve">Le esclusioni raccontano più delle inclusioni, e sono state fatte leggendo i nomi dei file prima di aprirli. Sono rimasti fuori un accordo di non divulgazione intestato a una persona nominata, due deleghe che portano cognomi nel nome del file, e soprattutto un documento su dati sanitari e donazione riferito a una persona identificabile, che è categoria particolare ai sensi dell'articolo 9 del Regolamento e non ha alcuna collocazione in una tassonomia pubblica di competenze. Sono rimasti fuori anche i report di rischio prodotti da due fornitori sull'infrastruttura reale, con domini e indirizzi IP: pubblicare l'esito di un </w:t>
      </w:r>
      <w:r>
        <w:rPr>
          <w:i/>
        </w:rPr>
        <w:t>vulnerability assessment</w:t>
      </w:r>
      <w:r>
        <w:t xml:space="preserve"> significa divulgare le debolezze di un'organizzazione reale, e la sostituzione con placeholder non rende quel materiale accettabile, perché il problema non è l'identificabilità ma il contenuto. Fuori anche i centoventisei questionari fornitori, che sono dati commerciali di terzi, e la polizza assicurativa post-disaster.</w:t>
      </w:r>
    </w:p>
    <w:p>
      <w:pPr/>
      <w:r>
        <w:t xml:space="preserve">Due file avevano nomi che, staccati dal loro albero di cartelle, perdevano ogni significato: </w:t>
      </w:r>
      <w:r>
        <w:rPr>
          <w:rFonts w:ascii="Consolas" w:hAnsi="Consolas"/>
        </w:rPr>
        <w:t>09092025.docx</w:t>
      </w:r>
      <w:r>
        <w:t xml:space="preserve"> e </w:t>
      </w:r>
      <w:r>
        <w:rPr>
          <w:rFonts w:ascii="Consolas" w:hAnsi="Consolas"/>
        </w:rPr>
        <w:t>primo accesso.docx</w:t>
      </w:r>
      <w:r>
        <w:t xml:space="preserve">. Sono stati prefissati con il tema della sottocartella di origine, perché un nome così diventa una </w:t>
      </w:r>
      <w:r>
        <w:rPr>
          <w:i/>
        </w:rPr>
        <w:t>label</w:t>
      </w:r>
      <w:r>
        <w:t xml:space="preserve"> incomprensibile nel grafo e quindi un'evidenza inutile nella pagina pubblica.</w:t>
      </w:r>
    </w:p>
    <w:p>
      <w:pPr>
        <w:pStyle w:val="Titolo3"/>
      </w:pPr>
      <w:r>
        <w:t>Il collaudo del routing</w:t>
      </w:r>
    </w:p>
    <w:p>
      <w:pPr/>
      <w:r>
        <w:t>Il pre-flight introdotto il giorno prima ha riportato nove documenti su nove che passano il filtro sui nomi di graphify: su questo corpus quel filtro non morde, ma la cartella sanitizzata serve comunque per la conversione in Markdown. graphify ha prodotto trentacinque nodi, cinquantatré collegamenti e sette community, con il sistema di gestione della sicurezza delle informazioni come nodo più connesso del grafo, nove archi, e una distribuzione di confidenza del sessantotto per cento estratto contro trentadue per cento inferito.</w:t>
      </w:r>
    </w:p>
    <w:p>
      <w:pPr/>
      <w:r>
        <w:t xml:space="preserve">Il risultato che interessava è che la classificazione automatica ha mandato ventitré evidenze su ventiquattro a </w:t>
      </w:r>
      <w:r>
        <w:rPr>
          <w:i/>
        </w:rPr>
        <w:t>Cybersecurity &amp; IT Governance</w:t>
      </w:r>
      <w:r>
        <w:t xml:space="preserve"> e nessuna a </w:t>
      </w:r>
      <w:r>
        <w:rPr>
          <w:i/>
        </w:rPr>
        <w:t>Quality Certification</w:t>
      </w:r>
      <w:r>
        <w:t>. Lo spostamento di proprietà del perimetro GDPR fatto il giorno prima tiene, e non è stato necessario alcun intervento su quel fronte.</w:t>
      </w:r>
    </w:p>
    <w:p>
      <w:pPr/>
      <w:r>
        <w:t xml:space="preserve">La revisione manuale ha comunque trovato cinque assegnazioni da correggere su ventotto, contro le diciotto su trentaquattro del ciclo precedente. La causa però è diversa, e vale registrarla perché è la prossima da affrontare: token generici come </w:t>
      </w:r>
      <w:r>
        <w:rPr>
          <w:rFonts w:ascii="Consolas" w:hAnsi="Consolas"/>
        </w:rPr>
        <w:t>IP</w:t>
      </w:r>
      <w:r>
        <w:t xml:space="preserve"> e </w:t>
      </w:r>
      <w:r>
        <w:rPr>
          <w:rFonts w:ascii="Consolas" w:hAnsi="Consolas"/>
        </w:rPr>
        <w:t>firewall</w:t>
      </w:r>
      <w:r>
        <w:t xml:space="preserve"> pesano più del contesto, e trascinano verso </w:t>
      </w:r>
      <w:r>
        <w:rPr>
          <w:i/>
        </w:rPr>
        <w:t>Networking Engineering and Security</w:t>
      </w:r>
      <w:r>
        <w:t xml:space="preserve"> nodi che parlano di eccezioni antivirus e di </w:t>
      </w:r>
      <w:r>
        <w:rPr>
          <w:i/>
        </w:rPr>
        <w:t>hardening</w:t>
      </w:r>
      <w:r>
        <w:t xml:space="preserve"> degli endpoint. Il caso più netto è il sistema di gestione della sicurezza delle informazioni finito in </w:t>
      </w:r>
      <w:r>
        <w:rPr>
          <w:i/>
        </w:rPr>
        <w:t>IT Administration and Billing</w:t>
      </w:r>
      <w:r>
        <w:t>, cioè il nodo più connesso dell'intero grafo assegnato alla pagina sbagliata. L'unica assegnazione fuori dalla pagina di sicurezza che è stata confermata è il problema di connessione RDP sulla rete locale, che è davvero troubleshooting di rete.</w:t>
      </w:r>
    </w:p>
    <w:p>
      <w:pPr>
        <w:pStyle w:val="Titolo3"/>
      </w:pPr>
      <w:r>
        <w:t>La fuga, e perché il riepilogo non l'aveva vista</w:t>
      </w:r>
    </w:p>
    <w:p>
      <w:pPr/>
      <w:r>
        <w:t xml:space="preserve">L'export ha dichiarato ventotto iniezioni, zero salti, zero file mancanti, e il controllo con </w:t>
      </w:r>
      <w:r>
        <w:rPr>
          <w:rFonts w:ascii="Consolas" w:hAnsi="Consolas"/>
        </w:rPr>
        <w:t>git diff -w --numstat</w:t>
      </w:r>
      <w:r>
        <w:t xml:space="preserve"> ha mostrato solo aggiunte, duecentosessantasette righe su una pagina e dieci sull'altra. Tutti i segnali erano verdi. Cercando però le stringhe sensibili dentro il diff, prima di committare, sono comparse quattordici occorrenze della ragione sociale e una dell'hostname di una postazione.</w:t>
      </w:r>
    </w:p>
    <w:p>
      <w:pPr/>
      <w:r>
        <w:t xml:space="preserve">Il vettore non era il testo delle evidenze, che la catena di anonimizzazione tratta da luglio, ma i </w:t>
      </w:r>
      <w:r>
        <w:rPr>
          <w:i/>
        </w:rPr>
        <w:t>nomi dei file</w:t>
      </w:r>
      <w:r>
        <w:t xml:space="preserve">. Un documento aziendale si chiama per forza di cose "Protezione avanzata (LAN) Intrawelt.docx" oppure "advancedIPscanner eccezione su PC-ALESSIO.docx", e quel nome arrivava nel repository pubblico per due strade indipendenti. La prima è la riga </w:t>
      </w:r>
      <w:r>
        <w:rPr>
          <w:rFonts w:ascii="Consolas" w:hAnsi="Consolas"/>
        </w:rPr>
        <w:t>- **Source**:</w:t>
      </w:r>
      <w:r>
        <w:t xml:space="preserve"> di ogni blocco di evidenza, che </w:t>
      </w:r>
      <w:r>
        <w:rPr>
          <w:rFonts w:ascii="Consolas" w:hAnsi="Consolas"/>
        </w:rPr>
        <w:t>export_to_taxonomy.py</w:t>
      </w:r>
      <w:r>
        <w:t xml:space="preserve"> scriveva verbatim senza farla passare per la funzione di sostituzione, a differenza del label, del titolo e del preview. La seconda è più insidiosa: il preview del corpo erano i primi duecento caratteri del file sanitizzato, e quel file apre con il frontmatter di tracciabilità, che contiene un campo </w:t>
      </w:r>
      <w:r>
        <w:rPr>
          <w:rFonts w:ascii="Consolas" w:hAnsi="Consolas"/>
        </w:rPr>
        <w:t>source_file</w:t>
      </w:r>
      <w:r>
        <w:t xml:space="preserve"> con il nome del documento di partenza. La fuga entrava quindi anche nel corpo, aggirando la mappa dall'interno.</w:t>
      </w:r>
    </w:p>
    <w:p>
      <w:pPr/>
      <w:r>
        <w:t xml:space="preserve">La correzione è distribuita su tre livelli, coerentemente con la difesa in profondità del resto della catena. </w:t>
      </w:r>
      <w:r>
        <w:rPr>
          <w:rFonts w:ascii="Consolas" w:hAnsi="Consolas"/>
        </w:rPr>
        <w:t>enrich_graph.py</w:t>
      </w:r>
      <w:r>
        <w:t xml:space="preserve"> salta il frontmatter prima di costruire il preview, e questo come effetto secondario migliora ogni evidenza futura, perché i duecento caratteri diventano contenuto invece che metadato. </w:t>
      </w:r>
      <w:r>
        <w:rPr>
          <w:rFonts w:ascii="Consolas" w:hAnsi="Consolas"/>
        </w:rPr>
        <w:t>export_to_taxonomy.py</w:t>
      </w:r>
      <w:r>
        <w:t xml:space="preserve"> fa passare il nome del file per la sostituzione come qualsiasi altro testo. E </w:t>
      </w:r>
      <w:r>
        <w:rPr>
          <w:rFonts w:ascii="Consolas" w:hAnsi="Consolas"/>
        </w:rPr>
        <w:t>sanitize_taxonomy_diff.py</w:t>
      </w:r>
      <w:r>
        <w:t xml:space="preserve">, che ispezionava soltanto il label, ispeziona ora anche il nome file e il preview: su questi due campi però </w:t>
      </w:r>
      <w:r>
        <w:rPr>
          <w:i/>
        </w:rPr>
        <w:t>scruba</w:t>
      </w:r>
      <w:r>
        <w:t>, sostituendo il residuo con un marcatore e tenendone il conto nel report, invece di scartare l'evidenza. La distinzione è deliberata. Un label che contiene un residuo, una volta scrubato, rischia di non voler dire più nulla, e allora tanto vale scartare la voce; una ragione sociale nel nome di un documento non rende l'evidenza inutile, la rende soltanto non pubblicabile in quella forma. Con lo scarto si sarebbero perse venti evidenze buone.</w:t>
      </w:r>
    </w:p>
    <w:p>
      <w:pPr/>
      <w:r>
        <w:t>Va detto che il difetto era preesistente e non nasce con questo ciclo: le evidenze pubblicate il sedici luglio hanno tutte un preview che comincia dal frontmatter. Per fortuna quei nomi di file non contenevano ragione sociale, quindi non c'è stata divulgazione, ma la qualità di quelle voci era già compromessa.</w:t>
      </w:r>
    </w:p>
    <w:p>
      <w:pPr/>
      <w:r>
        <w:t>La lezione di metodo conta più delle tre patch. Il riepilogo di uno script che dichiara successo non è una verifica di riservatezza, e nemmeno il conteggio delle righe aggiunte: dicono che l'operazione ha funzionato, non che ciò che ha scritto sia pubblicabile. La verifica che ha funzionato è stata cercare esplicitamente nel diff i cognomi noti, il dominio aziendale, la ragione sociale nuda, gli indirizzi interni e gli hostname del parco macchine, e in parallelo contare quante sostituzioni fossero state effettivamente applicate, perché zero mascherature su un corpus aziendale è un dato più sospetto di molte. Il momento giusto per farlo è con l'</w:t>
      </w:r>
      <w:r>
        <w:rPr>
          <w:rFonts w:ascii="Consolas" w:hAnsi="Consolas"/>
        </w:rPr>
        <w:t>--apply</w:t>
      </w:r>
      <w:r>
        <w:t xml:space="preserve"> già eseguito e nulla ancora committato, cioè nella finestra in cui un </w:t>
      </w:r>
      <w:r>
        <w:rPr>
          <w:rFonts w:ascii="Consolas" w:hAnsi="Consolas"/>
        </w:rPr>
        <w:t>git checkout</w:t>
      </w:r>
      <w:r>
        <w:t xml:space="preserve"> annulla tutto. Questo passo è ora scritto fra i controlli obbligatori del progetto.</w:t>
      </w:r>
    </w:p>
    <w:p>
      <w:pPr>
        <w:pStyle w:val="Titolo3"/>
      </w:pPr>
      <w:r>
        <w:t>Due falsi positivi che danneggiavano l'evidenza</w:t>
      </w:r>
    </w:p>
    <w:p>
      <w:pPr/>
      <w:r>
        <w:t xml:space="preserve">Gli altri due difetti riguardano l'estrazione delle entità, e hanno in comune una caratteristica interessante: non erano fughe, erano </w:t>
      </w:r>
      <w:r>
        <w:rPr>
          <w:i/>
        </w:rPr>
        <w:t>sovra-protezioni</w:t>
      </w:r>
      <w:r>
        <w:t xml:space="preserve"> che rovinavano il risultato. Il primo è che la parola </w:t>
      </w:r>
      <w:r>
        <w:rPr>
          <w:rFonts w:ascii="Consolas" w:hAnsi="Consolas"/>
        </w:rPr>
        <w:t>WINDOWS</w:t>
      </w:r>
      <w:r>
        <w:t xml:space="preserve"> veniva riconosciuta come hostname e mascherata, in un corpus di sicurezza degli endpoint dove quella parola è dappertutto. La causa non era una regola mancante, ed è questo il punto interessante: </w:t>
      </w:r>
      <w:r>
        <w:rPr>
          <w:rFonts w:ascii="Consolas" w:hAnsi="Consolas"/>
        </w:rPr>
        <w:t>Windows</w:t>
      </w:r>
      <w:r>
        <w:t xml:space="preserve"> era già presente nella lista dei marchi da ignorare, ma il confronto su quel percorso era sensibile alle maiuscole, mentre le due espressioni regolari che riconoscono gli hostname per costruzione catturano solo testo maiuscolo. Il filtro esisteva e non era mai scattato. Il confronto avviene ora su una versione minuscola precalcolata della lista, che protegge per la stessa ragione anche </w:t>
      </w:r>
      <w:r>
        <w:rPr>
          <w:rFonts w:ascii="Consolas" w:hAnsi="Consolas"/>
        </w:rPr>
        <w:t>LINUX</w:t>
      </w:r>
      <w:r>
        <w:t xml:space="preserve">, </w:t>
      </w:r>
      <w:r>
        <w:rPr>
          <w:rFonts w:ascii="Consolas" w:hAnsi="Consolas"/>
        </w:rPr>
        <w:t>UBUNTU</w:t>
      </w:r>
      <w:r>
        <w:t xml:space="preserve"> e simili.</w:t>
      </w:r>
    </w:p>
    <w:p>
      <w:pPr/>
      <w:r>
        <w:t>Il secondo è che il riconoscitore di entità nominate produceva porzioni di testo che attraversavano le interruzioni di riga, e così una voce della mappa partiva da "Bitdefender Gravityzone" e proseguiva per tre righe inglobando residui di un template. Mascherare quella stringa avrebbe significato nascondere il prodotto centrale del corpus, cioè esattamente la competenza che la pagina pubblica deve dichiarare. Il vincolo aggiunto è banale nella forma e solido nella sostanza: un nome di persona non attraversa un'interruzione di paragrafo. Alla lista dei marchi sono stati aggiunti i fornitori di sicurezza, che nel dominio di questo progetto ricorrono continuamente e sono l'ultima cosa da offuscare.</w:t>
      </w:r>
    </w:p>
    <w:p>
      <w:pPr>
        <w:pStyle w:val="Titolo3"/>
      </w:pPr>
      <w:r>
        <w:t>Il limite che nessuna correzione lessicale supera</w:t>
      </w:r>
    </w:p>
    <w:p>
      <w:pPr/>
      <w:r>
        <w:t xml:space="preserve">Un nodo del grafo è rimasto non classificato con punteggio esattamente zero: la politica PSGSI di sicurezza delle informazioni, che è il documento di governance più importante dei nove selezionati. Il motivo non è una soglia troppo alta né una parola chiave mancante. Il corpus è in italiano e il vocabolario della tassonomia è in inglese, quindi una etichetta come </w:t>
      </w:r>
      <w:r>
        <w:rPr>
          <w:i/>
        </w:rPr>
        <w:t>Politica Sicurezza Informazioni</w:t>
      </w:r>
      <w:r>
        <w:t xml:space="preserve"> non ha un solo token in comune con </w:t>
      </w:r>
      <w:r>
        <w:rPr>
          <w:rFonts w:ascii="Consolas" w:hAnsi="Consolas"/>
        </w:rPr>
        <w:t>security</w:t>
      </w:r>
      <w:r>
        <w:t xml:space="preserve">, </w:t>
      </w:r>
      <w:r>
        <w:rPr>
          <w:rFonts w:ascii="Consolas" w:hAnsi="Consolas"/>
        </w:rPr>
        <w:t>policy</w:t>
      </w:r>
      <w:r>
        <w:t xml:space="preserve"> o </w:t>
      </w:r>
      <w:r>
        <w:rPr>
          <w:rFonts w:ascii="Consolas" w:hAnsi="Consolas"/>
        </w:rPr>
        <w:t>compliance</w:t>
      </w:r>
      <w:r>
        <w:t xml:space="preserve">, e prende zero a prescindere da quanto sia pertinente. È lo stesso limite di fondo del misrouting risolto il giorno prima, il match puramente lessicale, ma in una forma che curare il vocabolario delle pagine non tocca nemmeno. Finché la funzione di punteggio resta un rapporto di token condivisi, questa classe di casi va recuperata a mano in revisione, e l'unica soluzione strutturale è il passaggio a una rappresentazione semantica, cioè la voce sugli </w:t>
      </w:r>
      <w:r>
        <w:rPr>
          <w:i/>
        </w:rPr>
        <w:t>embedding</w:t>
      </w:r>
      <w:r>
        <w:t xml:space="preserve"> che era in lista fra le estensioni possibili e che questo ciclo promuove da idea a necessità.</w:t>
      </w:r>
    </w:p>
    <w:p>
      <w:pPr>
        <w:pStyle w:val="Titolo3"/>
      </w:pPr>
      <w:r>
        <w:t>Chiusura</w:t>
      </w:r>
    </w:p>
    <w:p>
      <w:pPr/>
      <w:r>
        <w:t>Ventotto evidenze iniettate su due pagine Capability, ventisette sulla sicurezza e una sulla rete, solo aggiunte, build del sito verde. Lo stato di ingest è stato aggiornato sulla sola sottocartella Bitdefender, non su quella di governance: di quest'ultima sono stati lavorati tre documenti su tredici, e registrarla per intero l'avrebbe fatta sparire dai riepiloghi futuri con delta zero, nascondendo i dieci non lavorati. Lo stato serve a sapere cosa resta da fare, e va tenuto onesto anche quando questo significa vedere una sottocartella ricomparire a ogni apertura di sessione.</w:t>
      </w:r>
    </w:p>
    <w:p>
      <w:pPr>
        <w:pStyle w:val="Titolo2"/>
      </w:pPr>
      <w:r>
        <w:t>C.14 Riparare evidenze già pubblicate: audit, refresh e preview ancorato (2026-07-28)</w:t>
      </w:r>
    </w:p>
    <w:p>
      <w:pPr/>
      <w:r>
        <w:t>Questa sezione nasce da una domanda apparentemente semplice, se si potesse anonimizzare a posteriori la fuga scoperta nel ciclo precedente. La risposta è che non ce n'era bisogno, ma verificarlo ha aperto un capitolo che il sistema non sapeva ancora affrontare: come si corregge un'evidenza già pubblicata.</w:t>
      </w:r>
    </w:p>
    <w:p>
      <w:pPr>
        <w:pStyle w:val="Titolo3"/>
      </w:pPr>
      <w:r>
        <w:t>L'audit, e perché va fatto anche sulla storia</w:t>
      </w:r>
    </w:p>
    <w:p>
      <w:pPr/>
      <w:r>
        <w:t>La fuga del ciclo Cybersec endpoint era stata annullata con un ripristino prima di qualunque commit, quindi non aveva mai raggiunto il repository remoto. Fidarsi di questo ricordo però non basta, per due motivi. Il difetto che l'aveva causata era preesistente, quindi andava controllato tutto il pubblicato e non soltanto l'ultimo ciclo. E soprattutto la storia di un repository pubblico è pubblica quanto i suoi file: se una fuga fosse stata committata e poi corretta in un commit successivo, resterebbe perfettamente leggibile nei commit precedenti, e un ripristino del file corrente non la toglierebbe.</w:t>
      </w:r>
    </w:p>
    <w:p>
      <w:pPr/>
      <w:r>
        <w:t>L'audit è stato quindi doppio, sull'albero di lavoro e su tutti i venti commit della storia, cercando cognomi, indirizzi di posta, indirizzi interni, hostname del parco macchine, domini aziendali, nomi di fornitori e indirizzi di sede. Il risultato è che nessuna di quelle categorie compare mai, in nessun commit. La catena di anonimizzazione e il gate residue avevano fatto il loro lavoro, e l'unico buco, quello dei nomi dei file, era stato intercettato prima di committare.</w:t>
      </w:r>
    </w:p>
    <w:p>
      <w:pPr>
        <w:pStyle w:val="Titolo3"/>
      </w:pPr>
      <w:r>
        <w:t>Un'incoerenza di policy scambiata per una fuga</w:t>
      </w:r>
    </w:p>
    <w:p>
      <w:pPr/>
      <w:r>
        <w:t>L'unica stringa presente era la ragione sociale nuda, e l'analisi del contesto ha mostrato che non era una perdita ma un'incoerenza. La pagina di presentazione del sito dichiara volutamente, in testo scritto a mano, il ruolo di IT Manager presso l'azienda, con proprietà del budget e della roadmap; la sezione delle tecnologie di una pagina Capability elenca i provider di hosting per nome. Sono il curriculum, non una divulgazione involontaria. Nello stesso repository però il gate residue trattava quel nome come materiale da scartare, e nel ciclo precedente ne aveva scrubato quattordici occorrenze e scartato due evidenze intere.</w:t>
      </w:r>
    </w:p>
    <w:p>
      <w:pPr/>
      <w:r>
        <w:t>Mascherare un nome in un punto mentre la pagina di presentazione lo dichiara non protegge nulla e costa evidenze buone. La regola è stata rimossa, tenendo invece tutto ciò che descrive l'infrastruttura o identifica una persona: il dominio, gli indirizzi di posta, gli indirizzi interni, gli hostname, i fornitori e le sedi fisiche. La distinzione utile non è fra pubblico e privato in astratto, ma fra ciò che il proprietario del profilo ha scelto di dichiarare e ciò che descrive un sistema di terzi.</w:t>
      </w:r>
    </w:p>
    <w:p>
      <w:pPr>
        <w:pStyle w:val="Titolo3"/>
      </w:pPr>
      <w:r>
        <w:t>Il difetto vero: quarantaquattro evidenze identiche</w:t>
      </w:r>
    </w:p>
    <w:p>
      <w:pPr/>
      <w:r>
        <w:t>L'audit ha però trovato un problema che nessun controllo di riservatezza avrebbe segnalato, perché non è una fuga. Quarantaquattro blocchi di evidenza distribuiti su nove pagine, iniettati dal ciclo infrastrutturale di luglio, avevano tutti il medesimo testo: gli stessi duecento caratteri, cioè il commento di conversione più il titolo del documento più il primo sottotitolo, senza mai arrivare al contenuto. Quarantaquattro voci che dicono la stessa cosa e non informano su nulla, visibili pubblicamente.</w:t>
      </w:r>
    </w:p>
    <w:p>
      <w:pPr/>
      <w:r>
        <w:t>La riparazione ha richiesto tre interventi, e il primo tentativo è stato insufficiente. La correzione fatta il giorno prima toglieva il frontmatter delle note di tracciabilità, ma quei file provengono dal convertitore di graphify e aprono con un commento in stile HTML, quindi il taglio non li toccava affatto: la funzione riconosce ora entrambi i formati, perché esistono due convertitori, e scarta anche le intestazioni iniziali.</w:t>
      </w:r>
    </w:p>
    <w:p>
      <w:pPr/>
      <w:r>
        <w:t xml:space="preserve">Il punto sostanziale era però un altro, e sarebbe rimasto anche togliendo correttamente l'intestazione. Il testo di anteprima veniva costruito </w:t>
      </w:r>
      <w:r>
        <w:rPr>
          <w:i/>
        </w:rPr>
        <w:t>sul file</w:t>
      </w:r>
      <w:r>
        <w:t xml:space="preserve"> e non </w:t>
      </w:r>
      <w:r>
        <w:rPr>
          <w:i/>
        </w:rPr>
        <w:t>sul nodo</w:t>
      </w:r>
      <w:r>
        <w:t>, quindi tutte le evidenze estratte dallo stesso documento erano identiche per costruzione. I nodi prodotti da graphify non portano un riferimento di posizione, il campo apposito è vuoto, quindi l'ancoraggio va ricostruito: il documento viene spezzato in paragrafi e si sceglie quello che contiene più termini distintivi dell'etichetta del nodo, ripiegando sull'inizio del documento quando nessun paragrafo aggancia. La misura sul corpus dice che l'aggancio sull'etichetta intera riesce nell'undici per cento dei casi e quello sui singoli termini nell'ottantasette, e il risultato sono ottantasette anteprime distinte su centoventiquattro nodi, contro una sola per documento.</w:t>
      </w:r>
    </w:p>
    <w:p>
      <w:pPr>
        <w:pStyle w:val="Titolo3"/>
      </w:pPr>
      <w:r>
        <w:t>La modalità che mancava</w:t>
      </w:r>
    </w:p>
    <w:p>
      <w:pPr/>
      <w:r>
        <w:t xml:space="preserve">Restava un ostacolo strutturale. L'iniezione delle evidenze è idempotente per identificatore stabile, cioè uno hash del nodo e della Capability scritto in un commento invisibile, e questo garantisce che rilanciare l'export non duplichi nulla. Lo stesso meccanismo però rendeva impossibile </w:t>
      </w:r>
      <w:r>
        <w:rPr>
          <w:i/>
        </w:rPr>
        <w:t>correggere</w:t>
      </w:r>
      <w:r>
        <w:t xml:space="preserve"> un'evidenza già pubblicata: l'export la riconosceva come presente e la saltava, e l'unica via sarebbe stata riscrivere a mano le sezioni delle evidenze, cosa che le regole operative del progetto vietano esplicitamente perché quelle sezioni sono di competenza esclusiva dello script.</w:t>
      </w:r>
    </w:p>
    <w:p>
      <w:pPr/>
      <w:r>
        <w:t>È stata quindi aggiunta una modalità di riscrittura, che sostituisce in blocco l'evidenza identificata, delimitandola risalendo dall'ancora invisibile all'intestazione di terzo livello che la precede e scendendo fino all'intestazione successiva. Sul primo uso reale ha riscritto cinquantasei evidenze e ne ha aggiunte due, senza lasciare blocchi orfani, perché la sovrapposizione fra gli identificatori del nuovo passaggio e quelli già pubblicati era di cinquantasei su cinquantotto.</w:t>
      </w:r>
    </w:p>
    <w:p>
      <w:pPr>
        <w:pStyle w:val="Titolo3"/>
      </w:pPr>
      <w:r>
        <w:t>Il prezzo di un'anteprima migliore</w:t>
      </w:r>
    </w:p>
    <w:p>
      <w:pPr/>
      <w:r>
        <w:t>C'è una conseguenza di questo miglioramento che vale enunciare come principio, perché non era ovvia prima di vederla. Finché l'anteprima erano i primi caratteri del file, cioè metadati e titoli, il gate di sanitizzazione lavorava quasi a vuoto: non c'era quasi nulla di sensibile da intercettare. Nel momento in cui l'anteprima diventa il paragrafo pertinente, il testo pubblicato è contenuto reale preso dal centro dei documenti, e i residui arrivano davvero. Sul solo ciclo infrastrutturale il gate ne ha rimossi sei, e ha reso necessario allargare il riconoscimento di un fornitore, che cercava le due parole separate da uno spazio e mancava le forme reali con trattino e con underscore, emerse solo ora.</w:t>
      </w:r>
    </w:p>
    <w:p>
      <w:pPr/>
      <w:r>
        <w:t>Ogni miglioramento della qualità dell'anteprima è quindi anche un ampliamento della superficie da sanitizzare, e va accompagnato da una rilettura dei pattern residui invece che dato per gratuito. Una scelta esplicita in questa direzione: nel testo pubblicato sopravvivono frammenti di indirizzo a tre ottetti, e non è stata aggiunta una regola perché un pattern così cattura i numeri di versione, che in un corpus tecnico sono ovunque, e renderebbe il gate inutilizzabile per falsi positivi; un ottetto parziale senza contesto di rete non identifica un host.</w:t>
      </w:r>
    </w:p>
    <w:p>
      <w:pPr>
        <w:pStyle w:val="Titolo3"/>
      </w:pPr>
      <w:r>
        <w:t>Controlli che cambiano forma</w:t>
      </w:r>
    </w:p>
    <w:p>
      <w:pPr/>
      <w:r>
        <w:t>La riscrittura ha reso obsoleto un controllo che era considerato affidabile. Il conteggio delle righe modificate doveva mostrare solo aggiunte, e una cancellazione era un segnale di allarme; in modalità di riscrittura le cancellazioni sono invece legittime e attese, perché il vecchio blocco viene sostituito. Al suo posto valgono due verifiche diverse. Il conteggio degli identificatori di evidenza prima e dopo, che deve restare costante a meno delle aggiunte volute, perché un calo significa che la delimitazione del blocco ha divorato quello adiacente. E la presenza delle quattro intestazioni di contratto in ogni pagina toccata, perché sono il presupposto su cui l'export si appoggia e una riscrittura che ne mangia una romperebbe silenziosamente tutte le iniezioni future. Sul primo uso reale gli identificatori sono passati da duecentotrentacinque a duecentotrentanove, con quattro aggiunte attese e nessuna perdita, e tutte e undici le pagine hanno conservato la struttura.</w:t>
      </w:r>
    </w:p>
    <w:p>
      <w:pPr>
        <w:pStyle w:val="Titolo3"/>
      </w:pPr>
      <w:r>
        <w:t>Un'inefficienza corretta di passaggio</w:t>
      </w:r>
    </w:p>
    <w:p>
      <w:pPr/>
      <w:r>
        <w:t>L'attesa dell'estrazione ha reso visibile un difetto di costo. L'arricchimento del grafo eseguiva l'estrazione delle entità, che gira su tutto il testo di un documento, una volta per ogni nodo invece di una volta per file: un documento citato da cinquanta nodi veniva riletto e rianalizzato dal modello statistico cinquanta volte. Sul ciclo infrastrutturale, duecentotré nodi su una ventina di documenti, questo significava minuti di attesa dove ne bastavano secondi. Una cache per file, corretta perché il risultato dipende dal documento e non dal nodo, ha riportato la riesecuzione sul ciclo di endpoint da minuti a tre secondi. L'aggregazione a valle non cambia, perché ogni nodo continua a contribuire una volta al conteggio delle entità.</w:t>
      </w:r>
    </w:p>
    <w:p>
      <w:pPr>
        <w:pStyle w:val="Titolo3"/>
      </w:pPr>
      <w:r>
        <w:t>Chiusura</w:t>
      </w:r>
    </w:p>
    <w:p>
      <w:pPr/>
      <w:r>
        <w:t xml:space="preserve">Undici pagine aggiornate, ottantaquattro evidenze fra riscritte e aggiunte, duecentotrentanove identificatori totali, costruzione del sito verde, e le tre verifiche di riservatezza pulite: sul diff sanitizzato, sul diff reale del repository pubblico prima del commit, e sulla struttura. Commit del repository pubblico </w:t>
      </w:r>
      <w:r>
        <w:rPr>
          <w:rFonts w:ascii="Consolas" w:hAnsi="Consolas"/>
        </w:rPr>
        <w:t>502efe5</w:t>
      </w:r>
      <w:r>
        <w:t>.</w:t>
      </w:r>
    </w:p>
    <w:p>
      <w:pPr/>
      <w:r>
        <w:t>La lezione che questa sessione aggiunge alle precedenti è che un sistema che pubblica ha bisogno non solo di controlli in avanti, ma anche di una via per tornare indietro su ciò che ha già pubblicato. L'idempotenza protegge dai duplicati e insieme immobilizza gli errori: senza una modalità di riscrittura, ogni difetto della pipeline diventava permanente nel prodotto pubblico, con la sola alternativa di un intervento manuale che le regole vietano per ragioni giuste. La capacità di correggere retroattivamente non è un accessorio, è parte del contratto di affidabilità di una pipeline che scrive verso l'esterno.</w:t>
      </w:r>
    </w:p>
    <w:p>
      <w:pPr>
        <w:pStyle w:val="Titolo2"/>
      </w:pPr>
      <w:r>
        <w:t>C.15 Togliere ciò che è già pubblicato, e misurare le regole invece di crederci (2026-07-29)</w:t>
      </w:r>
    </w:p>
    <w:p>
      <w:pPr/>
      <w:r>
        <w:t>La sezione precedente si chiudeva dicendo che una pipeline che scrive verso l'esterno ha bisogno di una via per tornare indietro su ciò che ha già pubblicato, e aveva aggiunto la modalità di riscrittura. Questa sessione affronta il pezzo che mancava, cioè la rimozione, e nel farlo tocca altri tre punti rimasti in coda. Il filo che li unisce non era previsto: in tre casi su quattro la misura sul corpus reale ha corretto la soluzione che sembrava giusta a ragionamento.</w:t>
      </w:r>
    </w:p>
    <w:p>
      <w:pPr>
        <w:pStyle w:val="Titolo3"/>
      </w:pPr>
      <w:r>
        <w:t>Perché riscrivere non basta a spostare un nodo</w:t>
      </w:r>
    </w:p>
    <w:p>
      <w:pPr/>
      <w:r>
        <w:t xml:space="preserve">L'identificatore stabile di un'evidenza è uno hash del nodo e della Capability di destinazione. Questa scelta ha un effetto collaterale che si vede solo quando si prova a riclassificare: se un nodo cambia pagina, l'identificatore cambia con lui. La modalità di riscrittura non riconosce più quello vecchio, perché per lei non esiste, quindi scrive il blocco nuovo sulla pagina giusta e lascia il vecchio dove era. Il risultato non è un errore visibile ma una </w:t>
      </w:r>
      <w:r>
        <w:rPr>
          <w:i/>
        </w:rPr>
        <w:t>evidenza duplicata su due pagine</w:t>
      </w:r>
      <w:r>
        <w:t>, di cui una sbagliata.</w:t>
      </w:r>
    </w:p>
    <w:p>
      <w:pPr/>
      <w:r>
        <w:t>Il difetto si è manifestato in una prova a vuoto che riportava cinque iniezioni pianificate e venticinque già presenti, dove i cinque erano nodi mal instradati che avevano preso un identificatore nuovo. Nulla in quel riepilogo diceva che esistevano cinque blocchi orfani, e nemmeno il conteggio delle righe modificate lo avrebbe detto, perché non c'è nessuna riga da modificare. Finché la rimozione non esisteva, nessun cambio della funzione di punteggio poteva essere applicato allo storico: era il vero prerequisito, non una comodità.</w:t>
      </w:r>
    </w:p>
    <w:p>
      <w:pPr>
        <w:pStyle w:val="Titolo3"/>
      </w:pPr>
      <w:r>
        <w:t>Il punto delicato è cosa si può dichiarare obsoleto</w:t>
      </w:r>
    </w:p>
    <w:p>
      <w:pPr/>
      <w:r>
        <w:t>L'implementazione ovvia sarebbe confrontare gli identificatori presenti nel repository pubblico con quelli attesi dal diff corrente, e rimuovere la differenza. Sarebbe distruttiva: cancellerebbe le evidenze di tutti i cicli precedenti, i cui nodi non compaiono in questo diff semplicemente perché venivano da un altro corpus. L'assenza dal diff non è un giudizio, è ignoranza.</w:t>
      </w:r>
    </w:p>
    <w:p>
      <w:pPr/>
      <w:r>
        <w:t xml:space="preserve">Un collocamento si può dichiarare obsoleto solo per un nodo che il diff corrente </w:t>
      </w:r>
      <w:r>
        <w:rPr>
          <w:i/>
        </w:rPr>
        <w:t>conosce</w:t>
      </w:r>
      <w:r>
        <w:t xml:space="preserve">, e quindi per cui è in grado di dire dove va. Il diff porta questa informazione in due insiemi distinti: i nodi con una destinazione, che sono i fit, e i nodi conosciuti a qualsiasi titolo, che comprendono anche i non classificati e quelli raccolti nelle proposte di nuova Capability. La ricerca è poi </w:t>
      </w:r>
      <w:r>
        <w:rPr>
          <w:i/>
        </w:rPr>
        <w:t>per costruzione</w:t>
      </w:r>
      <w:r>
        <w:t xml:space="preserve"> e non per confronto: per ogni nodo conosciuto e per ogni pagina candidata si ricalcola l'identificatore che quel nodo avrebbe su quella pagina e lo si cerca fra le ancore effettivamente presenti. Costa uno hash per coppia, qualche migliaio su un ciclo tipico, e ha il vantaggio di non richiedere alcun registro di cosa è stato pubblicato: l'identificatore è il registro.</w:t>
      </w:r>
    </w:p>
    <w:p>
      <w:pPr/>
      <w:r>
        <w:t>Le due ragioni di obsolescenza restano distinte perché hanno rischi diversi. Un nodo che il diff colloca altrove è un caso chiuso, e la rimozione è sicura. Un nodo che il diff non colloca da nessuna parte, perché è sceso sotto soglia, è un caso aperto: una variazione di soglia cancellerebbe evidenze valide. Hanno quindi due flag separati, e nessuno dei due è attivo per default.</w:t>
      </w:r>
    </w:p>
    <w:p>
      <w:pPr/>
      <w:r>
        <w:t>La ricerca invece gira sempre, anche a vuoto e senza flag, perché il suo valore primo è diagnostico. Un'evidenza duplicata su due pagine è invisibile sia nel riepilogo delle iniezioni sia nel conteggio delle righe: si vede solo confrontando gli identificatori, e se il confronto richiede di ricordarsi di chiederlo, non verrà fatto proprio nelle sessioni in cui servirebbe.</w:t>
      </w:r>
    </w:p>
    <w:p>
      <w:pPr>
        <w:pStyle w:val="Titolo3"/>
      </w:pPr>
      <w:r>
        <w:t>La prova, e cosa dice il repository reale</w:t>
      </w:r>
    </w:p>
    <w:p>
      <w:pPr/>
      <w:r>
        <w:t>La verifica è stata fatta su un repository sintetico costruito per riprodurre la sequenza esatta: un primo ciclo che pubblica due nodi su una pagina, un secondo che sposta il primo nodo su un'altra pagina e fa scendere il secondo sotto soglia. Senza flag il riepilogo elenca correttamente uno spostato e uno non più previsto e non tocca nulla; con il flag degli spostati il blocco orfano scompare dalla pagina vecchia e resta solo quello nuovo; aggiungendo il secondo flag la pagina si svuota e torna al testo segnaposto iniziale, con le quattro intestazioni di contratto intatte. Verificato anche il caso che conta di più, cioè che un diff i cui nodi sono estranei alle pagine pubblicate non rimuova nulla nemmeno con entrambi i flag attivi.</w:t>
      </w:r>
    </w:p>
    <w:p>
      <w:pPr/>
      <w:r>
        <w:t>Sul repository pubblico reale la passata riporta zero collocamenti obsoleti su trenta evidenze coerenti. È la conferma che non c'è debito pregresso, e insieme la prova che la ricerca non produce falsi positivi su un corpus vero.</w:t>
      </w:r>
    </w:p>
    <w:p>
      <w:pPr>
        <w:pStyle w:val="Titolo3"/>
      </w:pPr>
      <w:r>
        <w:t>Un dominio di terzi che nessuno strato fermava</w:t>
      </w:r>
    </w:p>
    <w:p>
      <w:pPr/>
      <w:r>
        <w:t>Il secondo punto in coda riguardava la riservatezza e non la qualità. Il gate dei residui copriva il dominio aziendale ma non un dominio di terzi arbitrario, e il caso che l'aveva fatto notare, il nodo che citava il dominio di un'azienda cliente, non era stato pubblicato solo perché la classificazione gli aveva dato punteggio zero. Non era un gate che aveva funzionato, era un caso fortunato.</w:t>
      </w:r>
    </w:p>
    <w:p>
      <w:pPr/>
      <w:r>
        <w:t>La verifica degli strati a monte ha confermato che il buco era reale e non teorico. La mappa di anonimizzazione registra cinque categorie, azienda, nome proprio, indirizzo di posta, indirizzo di rete e hostname, e nessuna di esse è il nome di dominio; la categoria degli indirizzi web viene estratta ma non entra nella mappa; e nessuna delle regole che potrebbero pescare un dominio lo fa davvero, perché una vuole la chiocciola, un'altra un prefisso infrastrutturale, la terza il maiuscolo con trattino. Un dominio nudo minuscolo attraversava indenne tutti gli strati.</w:t>
      </w:r>
    </w:p>
    <w:p>
      <w:pPr/>
      <w:r>
        <w:t xml:space="preserve">La regola nuova riconosce un nome di dominio registrabile e ha una lista di eccezioni per i domini che su una pagina pubblica di tassonomia sono legittimi e attesi, cioè i fornitori tecnologici citati come tecnologia, le fonti normative che i documenti di compliance nominano, e i </w:t>
      </w:r>
      <w:r>
        <w:rPr>
          <w:i/>
        </w:rPr>
        <w:t>namespace</w:t>
      </w:r>
      <w:r>
        <w:t xml:space="preserve"> di codice che hanno la forma sintattica di un dominio e senza eccezione esplicita verrebbero scambiati per tali. La lista dei suffissi</w:t>
      </w:r>
      <w:r>
        <w:rPr>
          <w:rStyle w:val="Rimandonotaapidipagina"/>
        </w:rPr>
        <w:footnoteReference w:id="25"/>
      </w:r>
      <w:r>
        <w:t xml:space="preserve"> è volutamente corta, perché ogni suffisso in più allarga i falsi positivi su testo tecnico.</w:t>
      </w:r>
    </w:p>
    <w:p>
      <w:pPr/>
      <w:r>
        <w:t>Qui è arrivata la correzione dalla misura. La regola era stata provata su un diff sintetico e passava, ma provata sui due corpora già lavorati scartava tre domini legittimi, cioè il produttore della soluzione di sicurezza documentata nel ciclo precedente e due console di prodotto. Sono tecnologie che le pagine dichiarano per nome: bloccarle costava evidenze buone senza proteggere nulla, e sono finite in lista di eccezione. Dopo la correzione i falsi positivi sono zero su entrambi i corpora e il corpus di endpoint conserva le stesse trenta evidenze di prima, quindi nessuna regressione. Nel frattempo la regola ha catturato tre fughe reali che nessun pattern copriva, gli hostname interni ospitati presso il provider di hosting, che sono esattamente il tipo di informazione da cui si ricostruisce un'infrastruttura. La distinzione che regge la lista è la stessa di C.14: un prodotto dichiarato come tecnologia è curriculum, un sottodominio di infrastruttura è un sistema di terzi.</w:t>
      </w:r>
    </w:p>
    <w:p>
      <w:pPr>
        <w:pStyle w:val="Titolo3"/>
      </w:pPr>
      <w:r>
        <w:t>Rumore che si sposta invece di sparire</w:t>
      </w:r>
    </w:p>
    <w:p>
      <w:pPr/>
      <w:r>
        <w:t xml:space="preserve">Il terzo punto sembrava due righe di codice. Il digest di stato segnalava novecentonovantasei file nuovi su una subfolder, tutti pagine salvate da siti di terzi che non sono materiale da ingerire, e bastava aggiungere quella directory alle esclusioni. Fatto questo, il digest ha cominciato a segnalare duecentonovantuno file </w:t>
      </w:r>
      <w:r>
        <w:rPr>
          <w:i/>
        </w:rPr>
        <w:t>cancellati</w:t>
      </w:r>
      <w:r>
        <w:t>: lo snapshot registrato conteneva ancora i file che ora la scansione non vede più. Un rumore sostituito da un altro.</w:t>
      </w:r>
    </w:p>
    <w:p>
      <w:pPr/>
      <w:r>
        <w:t>La via ovvia sarebbe rifare la registrazione della subfolder, che riscrive lo snapshot. Ma quel comando aggiorna anche la data e il commit dell'ultimo ingest, e dichiarerebbe un ingest mai avvenuto, falsificando l'unico dato di progresso che il file custodisce. È stato quindi aggiunto un comando distinto che riallinea la sola sezione dei file conservando data e commit, con la sua modalità di sola verifica, pensato esattamente per il caso in cui cambiano le regole di esclusione e non il corpus. Applicato dopo aver controllato che tutti e duecentonovantuno i file assorbiti stessero dentro la directory esclusa, il digest è tornato pulito e la data di ingest di metà luglio è intatta. Il confronto dei nomi di directory è anche passato a insensibile al caso, perché su questo sistema la stessa cartella compare indifferentemente maiuscola e minuscola e un confronto sensibile la lasciava passare.</w:t>
      </w:r>
    </w:p>
    <w:p>
      <w:pPr>
        <w:pStyle w:val="Titolo3"/>
      </w:pPr>
      <w:r>
        <w:t>L'unica pagina fuori contratto</w:t>
      </w:r>
    </w:p>
    <w:p>
      <w:pPr/>
      <w:r>
        <w:t>Il quarto punto era una Capability che non poteva ricevere evidenze perché il suo indice usciva a zero parole chiave. La diagnosi ha smentito l'ipotesi di partenza, che fosse un parsing troppo rigido: la pagina non aveva nessuna delle quattro intestazioni di contratto, era l'unica così su trentuno, e tutto il suo contenuto, che è ricco, stava sotto cinque intestazioni tematiche che lo script non guarda. Un secondo sintomo dello stesso disallineamento era che l'indice riportava una Capability chiamata Overview, perché il nome viene dall'etichetta della foglia nel nav e quella foglia si chiamava così.</w:t>
      </w:r>
    </w:p>
    <w:p>
      <w:pPr/>
      <w:r>
        <w:t>La pagina è stata portata a contratto senza toccare una parola della prosa, declassando le cinque intestazioni tematiche a terzo livello sotto la sezione delle responsabilità e aggiungendo le tre sezioni mancanti; le sole righe rimosse dal diff sono le cinque intestazioni. Il rischio vero era però un altro, e non stava nel ripristino ma in ciò che il ripristino abilita: una pagina nuova con novanta parole chiave, le più numerose dell'intera tassonomia, che compete con le pagine tecniche su termini generici e ne ruba le evidenze. Per questo la sezione delle tecnologie è stata scritta sul lessico delle competenze trasversali evitando deliberatamente i termini delle pagine tecniche, e soprattutto l'effetto è stato misurato invece che dedotto: zero destinazioni cambiate sui trentuno fit del corpus di endpoint e zero sugli ottantacinque del corpus infrastrutturale. Resta da sapere che quella pagina è ora al taglio massimo delle parole chiave, quindi è la prima da guardare se emerge un instradamento sbagliato.</w:t>
      </w:r>
    </w:p>
    <w:p>
      <w:pPr>
        <w:pStyle w:val="Titolo3"/>
      </w:pPr>
      <w:r>
        <w:t>Chiusura</w:t>
      </w:r>
    </w:p>
    <w:p>
      <w:pPr/>
      <w:r>
        <w:t>Quattro voci di coda chiuse, tre script modificati nel motore privato e due file nella tassonomia pubblica, nessuna regressione misurata sui due corpora già lavorati. Resta aperto il prossimo ciclo di ingest, che richiede la scelta della subfolder.</w:t>
      </w:r>
    </w:p>
    <w:p>
      <w:pPr/>
      <w:r>
        <w:t>La lezione di questa sessione è metodologica e vale oltre i quattro casi. Tre volte su quattro la soluzione corretta a ragionamento era sbagliata alla misura: la regola sui domini passava il test sintetico e scartava tre tecnologie dichiarate, la correzione delle esclusioni spostava il rumore invece di toglierlo, e la diagnosi della pagina senza parole chiave puntava sul parsing quando il difetto era editoriale. Il costo della misura è stato ogni volta di pochi minuti, perché i corpora già lavorati sono su disco e gli stati intermedi sono file ispezionabili: è il rendimento di quella scelta architetturale, non un merito della sessione. La regola operativa che ne segue è che una modifica al gate di riservatezza o alla classificazione non si considera fatta finché non è stata rilanciata sui corpora storici e confrontata con l'esito precedente.</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 w:id="25">
    <w:p>
      <w:pPr>
        <w:spacing w:after="40"/>
        <w:jc w:val="both"/>
      </w:pPr>
      <w:r>
        <w:rPr>
          <w:rStyle w:val="Rimandonotaapidipagina"/>
        </w:rPr>
        <w:footnoteRef/>
      </w:r>
      <w:r>
        <w:rPr>
          <w:color w:val="595959"/>
          <w:sz w:val="18"/>
          <w:szCs w:val="18"/>
        </w:rPr>
        <w:t xml:space="preserve"> </w:t>
      </w:r>
      <w:r>
        <w:rPr>
          <w:color w:val="595959"/>
          <w:sz w:val="18"/>
          <w:szCs w:val="18"/>
        </w:rPr>
        <w:t xml:space="preserve">TLD, Top Level Domain - il suffisso finale di un nome di dominio, per esempio com oppure it, che ne determina il registro di appartenenza.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