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2EF78" w14:textId="08E0EA79" w:rsidR="00626463" w:rsidRPr="00ED5F1A" w:rsidRDefault="00000000" w:rsidP="00ED5F1A">
      <w:pPr>
        <w:pStyle w:val="MdHeading1"/>
        <w:jc w:val="both"/>
        <w:rPr>
          <w:rFonts w:asciiTheme="majorHAnsi" w:hAnsiTheme="majorHAnsi"/>
          <w:sz w:val="22"/>
          <w:szCs w:val="22"/>
        </w:rPr>
      </w:pPr>
      <w:r w:rsidRPr="00ED5F1A">
        <w:rPr>
          <w:rFonts w:asciiTheme="majorHAnsi" w:hAnsiTheme="majorHAnsi"/>
          <w:sz w:val="22"/>
          <w:szCs w:val="22"/>
        </w:rPr>
        <w:t>Blindagem Societária e Estruturação Regulatória</w:t>
      </w:r>
    </w:p>
    <w:p w14:paraId="79F994A6" w14:textId="77777777" w:rsidR="00626463" w:rsidRPr="00ED5F1A" w:rsidRDefault="00000000" w:rsidP="00ED5F1A">
      <w:pPr>
        <w:pStyle w:val="MdParagraph"/>
        <w:jc w:val="both"/>
        <w:rPr>
          <w:rFonts w:asciiTheme="majorHAnsi" w:hAnsiTheme="majorHAnsi"/>
          <w:sz w:val="22"/>
          <w:szCs w:val="22"/>
        </w:rPr>
      </w:pPr>
      <w:r w:rsidRPr="00ED5F1A">
        <w:rPr>
          <w:rStyle w:val="MdStrong"/>
          <w:rFonts w:asciiTheme="majorHAnsi" w:hAnsiTheme="majorHAnsi"/>
          <w:sz w:val="22"/>
          <w:szCs w:val="22"/>
        </w:rPr>
        <w:t>Projeto:</w:t>
      </w:r>
      <w:r w:rsidRPr="00ED5F1A">
        <w:rPr>
          <w:rFonts w:asciiTheme="majorHAnsi" w:hAnsiTheme="majorHAnsi"/>
          <w:sz w:val="22"/>
          <w:szCs w:val="22"/>
        </w:rPr>
        <w:t xml:space="preserve"> Constituição de Seguradora (S3/S4) e Administradora de Proteção Patrimonial Mutualista</w:t>
      </w:r>
    </w:p>
    <w:p w14:paraId="76C89E23" w14:textId="77777777" w:rsidR="00626463" w:rsidRPr="00ED5F1A" w:rsidRDefault="00626463" w:rsidP="00ED5F1A">
      <w:pPr>
        <w:pStyle w:val="MdSpace"/>
        <w:spacing w:after="60"/>
        <w:jc w:val="both"/>
        <w:rPr>
          <w:rFonts w:asciiTheme="majorHAnsi" w:hAnsiTheme="majorHAnsi"/>
          <w:sz w:val="22"/>
          <w:szCs w:val="22"/>
        </w:rPr>
      </w:pPr>
    </w:p>
    <w:p w14:paraId="09678BE5" w14:textId="77777777" w:rsidR="00626463" w:rsidRPr="00ED5F1A" w:rsidRDefault="00000000" w:rsidP="00ED5F1A">
      <w:pPr>
        <w:pStyle w:val="MdParagraph"/>
        <w:jc w:val="both"/>
        <w:rPr>
          <w:rFonts w:asciiTheme="majorHAnsi" w:hAnsiTheme="majorHAnsi"/>
          <w:sz w:val="22"/>
          <w:szCs w:val="22"/>
        </w:rPr>
      </w:pPr>
      <w:r w:rsidRPr="00ED5F1A">
        <w:rPr>
          <w:rStyle w:val="MdStrong"/>
          <w:rFonts w:asciiTheme="majorHAnsi" w:hAnsiTheme="majorHAnsi"/>
          <w:sz w:val="22"/>
          <w:szCs w:val="22"/>
        </w:rPr>
        <w:t>Contexto:</w:t>
      </w:r>
      <w:r w:rsidRPr="00ED5F1A">
        <w:rPr>
          <w:rFonts w:asciiTheme="majorHAnsi" w:hAnsiTheme="majorHAnsi"/>
          <w:sz w:val="22"/>
          <w:szCs w:val="22"/>
        </w:rPr>
        <w:t xml:space="preserve"> Sociedade com quatro sócios (25% cada)</w:t>
      </w:r>
    </w:p>
    <w:p w14:paraId="646E8850" w14:textId="77777777" w:rsidR="00626463" w:rsidRPr="00ED5F1A" w:rsidRDefault="00626463" w:rsidP="00ED5F1A">
      <w:pPr>
        <w:pStyle w:val="MdSpace"/>
        <w:spacing w:after="60"/>
        <w:jc w:val="both"/>
        <w:rPr>
          <w:rFonts w:asciiTheme="majorHAnsi" w:hAnsiTheme="majorHAnsi"/>
          <w:sz w:val="22"/>
          <w:szCs w:val="22"/>
        </w:rPr>
      </w:pPr>
    </w:p>
    <w:p w14:paraId="035EA30E" w14:textId="5FA57CEE" w:rsidR="00626463" w:rsidRPr="00ED5F1A" w:rsidRDefault="00000000" w:rsidP="00ED5F1A">
      <w:pPr>
        <w:pStyle w:val="MdParagraph"/>
        <w:jc w:val="both"/>
        <w:rPr>
          <w:rFonts w:asciiTheme="majorHAnsi" w:hAnsiTheme="majorHAnsi"/>
          <w:sz w:val="22"/>
          <w:szCs w:val="22"/>
        </w:rPr>
      </w:pPr>
      <w:r w:rsidRPr="00ED5F1A">
        <w:rPr>
          <w:rStyle w:val="MdStrong"/>
          <w:rFonts w:asciiTheme="majorHAnsi" w:hAnsiTheme="majorHAnsi"/>
          <w:sz w:val="22"/>
          <w:szCs w:val="22"/>
        </w:rPr>
        <w:t>Objetivo:</w:t>
      </w:r>
      <w:r w:rsidRPr="00ED5F1A">
        <w:rPr>
          <w:rFonts w:asciiTheme="majorHAnsi" w:hAnsiTheme="majorHAnsi"/>
          <w:sz w:val="22"/>
          <w:szCs w:val="22"/>
        </w:rPr>
        <w:t xml:space="preserve"> Expor vulnerabilidades e servir de base para um Acordo de Sócios robusto, com foco em proteção patrimonial, governança e mitigação de riscos jurídico-regulatórios, em conformidade com a Lei Complementar 213/2025 e a regulamentação da SUSEP/CNSP.</w:t>
      </w:r>
    </w:p>
    <w:p w14:paraId="60A20C67" w14:textId="77777777" w:rsidR="00626463" w:rsidRPr="00ED5F1A" w:rsidRDefault="00000000" w:rsidP="00ED5F1A">
      <w:pPr>
        <w:pStyle w:val="MdHeading2"/>
        <w:jc w:val="both"/>
        <w:rPr>
          <w:rFonts w:asciiTheme="majorHAnsi" w:hAnsiTheme="majorHAnsi"/>
          <w:sz w:val="22"/>
          <w:szCs w:val="22"/>
        </w:rPr>
      </w:pPr>
      <w:r w:rsidRPr="00ED5F1A">
        <w:rPr>
          <w:rFonts w:asciiTheme="majorHAnsi" w:hAnsiTheme="majorHAnsi"/>
          <w:sz w:val="22"/>
          <w:szCs w:val="22"/>
        </w:rPr>
        <w:t>Bloco 1: Blindagem Patrimonial Individual</w:t>
      </w:r>
    </w:p>
    <w:p w14:paraId="43C2ADB9" w14:textId="77777777" w:rsidR="00626463" w:rsidRPr="00ED5F1A" w:rsidRDefault="00000000" w:rsidP="00ED5F1A">
      <w:pPr>
        <w:pStyle w:val="MdParagraph"/>
        <w:jc w:val="both"/>
        <w:rPr>
          <w:rFonts w:asciiTheme="majorHAnsi" w:hAnsiTheme="majorHAnsi"/>
          <w:sz w:val="22"/>
          <w:szCs w:val="22"/>
        </w:rPr>
      </w:pPr>
      <w:r w:rsidRPr="00ED5F1A">
        <w:rPr>
          <w:rFonts w:asciiTheme="majorHAnsi" w:hAnsiTheme="majorHAnsi"/>
          <w:sz w:val="22"/>
          <w:szCs w:val="22"/>
        </w:rPr>
        <w:t>Este bloco visa definir a estrutura de participação de cada sócio e estabelecer barreiras claras para proteger o patrimônio pessoal dos demais sócios contra riscos originados por um deles.</w:t>
      </w:r>
    </w:p>
    <w:p w14:paraId="1E8F7809" w14:textId="77777777" w:rsidR="00626463" w:rsidRPr="00ED5F1A" w:rsidRDefault="00626463" w:rsidP="00ED5F1A">
      <w:pPr>
        <w:pStyle w:val="MdSpace"/>
        <w:spacing w:after="60"/>
        <w:jc w:val="both"/>
        <w:rPr>
          <w:rFonts w:asciiTheme="majorHAnsi" w:hAnsiTheme="majorHAnsi"/>
          <w:sz w:val="22"/>
          <w:szCs w:val="22"/>
        </w:rPr>
      </w:pPr>
    </w:p>
    <w:p w14:paraId="00FCC558"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t>Estrutura de Participação:</w:t>
      </w:r>
      <w:r w:rsidRPr="00ED5F1A">
        <w:rPr>
          <w:rFonts w:asciiTheme="majorHAnsi" w:hAnsiTheme="majorHAnsi"/>
          <w:sz w:val="22"/>
          <w:szCs w:val="22"/>
        </w:rPr>
        <w:t xml:space="preserve"> Os sócios integralizarão suas participações como Pessoas Físicas ou por meio de Pessoas Jurídicas (Holdings Patrimoniais)? Qual estrutura será exigida ou recomendada para garantir a segregação patrimonial?</w:t>
      </w:r>
    </w:p>
    <w:p w14:paraId="7C2B6CCC"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t>Responsabilidade por Dívidas Pessoais:</w:t>
      </w:r>
      <w:r w:rsidRPr="00ED5F1A">
        <w:rPr>
          <w:rFonts w:asciiTheme="majorHAnsi" w:hAnsiTheme="majorHAnsi"/>
          <w:sz w:val="22"/>
          <w:szCs w:val="22"/>
        </w:rPr>
        <w:t xml:space="preserve"> Como o Acordo de Sócios impedirá que dívidas pessoais, processos de divórcio, partilha de bens ou sucessão de um dos sócios afetem a sociedade ou a participação dos demais? Haverá cláusula de bloqueio à penhora de quotas/ações por dívidas particulares?</w:t>
      </w:r>
    </w:p>
    <w:p w14:paraId="28F9D848"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t>Vedações a Garantias Pessoais:</w:t>
      </w:r>
      <w:r w:rsidRPr="00ED5F1A">
        <w:rPr>
          <w:rFonts w:asciiTheme="majorHAnsi" w:hAnsiTheme="majorHAnsi"/>
          <w:sz w:val="22"/>
          <w:szCs w:val="22"/>
        </w:rPr>
        <w:t xml:space="preserve"> O Acordo de Sócios vedará expressamente que qualquer sócio preste aval, fiança ou qualquer outra forma de garantia pessoal em nome da sociedade (Seguradora ou Administradora Mutualista) sem a aprovação unânime dos demais?</w:t>
      </w:r>
    </w:p>
    <w:p w14:paraId="13EAFF13"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t>Proibição de Solidariedade:</w:t>
      </w:r>
      <w:r w:rsidRPr="00ED5F1A">
        <w:rPr>
          <w:rFonts w:asciiTheme="majorHAnsi" w:hAnsiTheme="majorHAnsi"/>
          <w:sz w:val="22"/>
          <w:szCs w:val="22"/>
        </w:rPr>
        <w:t xml:space="preserve"> Haverá cláusula explícita que proíba a responsabilidade solidária ou subsidiária dos demais sócios por obrigações ou atos particulares de um dos membros da sociedade, especialmente em relação a passivos fiscais, trabalhistas ou cíveis?</w:t>
      </w:r>
    </w:p>
    <w:p w14:paraId="3948493B"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t>Holding Operacional vs. Patrimonial:</w:t>
      </w:r>
      <w:r w:rsidRPr="00ED5F1A">
        <w:rPr>
          <w:rFonts w:asciiTheme="majorHAnsi" w:hAnsiTheme="majorHAnsi"/>
          <w:sz w:val="22"/>
          <w:szCs w:val="22"/>
        </w:rPr>
        <w:t xml:space="preserve"> A estrutura societária contemplará a criação de uma holding operacional que controlará a Seguradora e a Administradora, separando o risco operacional do patrimônio dos sócios? Como será a arquitetura dessa estrutura?</w:t>
      </w:r>
    </w:p>
    <w:p w14:paraId="64650672" w14:textId="77777777" w:rsidR="00626463" w:rsidRPr="00ED5F1A" w:rsidRDefault="00626463" w:rsidP="00ED5F1A">
      <w:pPr>
        <w:pStyle w:val="MdSpace"/>
        <w:spacing w:after="60"/>
        <w:jc w:val="both"/>
        <w:rPr>
          <w:rFonts w:asciiTheme="majorHAnsi" w:hAnsiTheme="majorHAnsi"/>
          <w:sz w:val="22"/>
          <w:szCs w:val="22"/>
        </w:rPr>
      </w:pPr>
    </w:p>
    <w:p w14:paraId="12B54245" w14:textId="77777777" w:rsidR="00626463" w:rsidRPr="00ED5F1A" w:rsidRDefault="00000000" w:rsidP="00ED5F1A">
      <w:pPr>
        <w:pStyle w:val="MdHeading2"/>
        <w:jc w:val="both"/>
        <w:rPr>
          <w:rFonts w:asciiTheme="majorHAnsi" w:hAnsiTheme="majorHAnsi"/>
          <w:sz w:val="22"/>
          <w:szCs w:val="22"/>
        </w:rPr>
      </w:pPr>
      <w:r w:rsidRPr="00ED5F1A">
        <w:rPr>
          <w:rFonts w:asciiTheme="majorHAnsi" w:hAnsiTheme="majorHAnsi"/>
          <w:sz w:val="22"/>
          <w:szCs w:val="22"/>
        </w:rPr>
        <w:t>Bloco 2: Capital, Aportes e Inadimplência</w:t>
      </w:r>
    </w:p>
    <w:p w14:paraId="4EBC1866" w14:textId="77777777" w:rsidR="00626463" w:rsidRPr="00ED5F1A" w:rsidRDefault="00000000" w:rsidP="00ED5F1A">
      <w:pPr>
        <w:pStyle w:val="MdParagraph"/>
        <w:jc w:val="both"/>
        <w:rPr>
          <w:rFonts w:asciiTheme="majorHAnsi" w:hAnsiTheme="majorHAnsi"/>
          <w:sz w:val="22"/>
          <w:szCs w:val="22"/>
        </w:rPr>
      </w:pPr>
      <w:r w:rsidRPr="00ED5F1A">
        <w:rPr>
          <w:rFonts w:asciiTheme="majorHAnsi" w:hAnsiTheme="majorHAnsi"/>
          <w:sz w:val="22"/>
          <w:szCs w:val="22"/>
        </w:rPr>
        <w:t>Este bloco aborda a dinâmica de capitalização da sociedade, estabelecendo regras claras e consequências automáticas para a inadimplência, um dos maiores riscos em negócios regulados que demandam capital intensivo.</w:t>
      </w:r>
    </w:p>
    <w:p w14:paraId="2100D7E6" w14:textId="77777777" w:rsidR="00626463" w:rsidRPr="00ED5F1A" w:rsidRDefault="00626463" w:rsidP="00ED5F1A">
      <w:pPr>
        <w:pStyle w:val="MdSpace"/>
        <w:spacing w:after="60"/>
        <w:jc w:val="both"/>
        <w:rPr>
          <w:rFonts w:asciiTheme="majorHAnsi" w:hAnsiTheme="majorHAnsi"/>
          <w:sz w:val="22"/>
          <w:szCs w:val="22"/>
        </w:rPr>
      </w:pPr>
    </w:p>
    <w:p w14:paraId="38675A09"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t xml:space="preserve">Chamadas de Capital (Capital </w:t>
      </w:r>
      <w:proofErr w:type="spellStart"/>
      <w:r w:rsidRPr="00ED5F1A">
        <w:rPr>
          <w:rStyle w:val="MdStrong"/>
          <w:rFonts w:asciiTheme="majorHAnsi" w:hAnsiTheme="majorHAnsi"/>
          <w:sz w:val="22"/>
          <w:szCs w:val="22"/>
        </w:rPr>
        <w:t>Calls</w:t>
      </w:r>
      <w:proofErr w:type="spellEnd"/>
      <w:r w:rsidRPr="00ED5F1A">
        <w:rPr>
          <w:rStyle w:val="MdStrong"/>
          <w:rFonts w:asciiTheme="majorHAnsi" w:hAnsiTheme="majorHAnsi"/>
          <w:sz w:val="22"/>
          <w:szCs w:val="22"/>
        </w:rPr>
        <w:t>):</w:t>
      </w:r>
      <w:r w:rsidRPr="00ED5F1A">
        <w:rPr>
          <w:rFonts w:asciiTheme="majorHAnsi" w:hAnsiTheme="majorHAnsi"/>
          <w:sz w:val="22"/>
          <w:szCs w:val="22"/>
        </w:rPr>
        <w:t xml:space="preserve"> Como serão definidas as necessidades de aportes futuros (para aumento de capital, cobertura de prejuízos, investimentos </w:t>
      </w:r>
      <w:proofErr w:type="gramStart"/>
      <w:r w:rsidRPr="00ED5F1A">
        <w:rPr>
          <w:rFonts w:asciiTheme="majorHAnsi" w:hAnsiTheme="majorHAnsi"/>
          <w:sz w:val="22"/>
          <w:szCs w:val="22"/>
        </w:rPr>
        <w:t>estratégicos, etc.</w:t>
      </w:r>
      <w:proofErr w:type="gramEnd"/>
      <w:r w:rsidRPr="00ED5F1A">
        <w:rPr>
          <w:rFonts w:asciiTheme="majorHAnsi" w:hAnsiTheme="majorHAnsi"/>
          <w:sz w:val="22"/>
          <w:szCs w:val="22"/>
        </w:rPr>
        <w:t>)? Qual será o quórum de aprovação para uma chamada de capital?</w:t>
      </w:r>
    </w:p>
    <w:p w14:paraId="6FF5F00C"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t>Procedimento e Prazos:</w:t>
      </w:r>
      <w:r w:rsidRPr="00ED5F1A">
        <w:rPr>
          <w:rFonts w:asciiTheme="majorHAnsi" w:hAnsiTheme="majorHAnsi"/>
          <w:sz w:val="22"/>
          <w:szCs w:val="22"/>
        </w:rPr>
        <w:t xml:space="preserve"> Uma vez aprovada a chamada de capital, qual será o prazo para a integralização por parte de cada sócio? O procedimento será formalizado via notificação extrajudicial com aviso de recebimento para garantir a ciência inequívoca de todos?</w:t>
      </w:r>
    </w:p>
    <w:p w14:paraId="4906E1F6"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t>Consequências da Inadimplência (Automáticas e Progressivas):</w:t>
      </w:r>
    </w:p>
    <w:p w14:paraId="28177FE6" w14:textId="77777777" w:rsidR="00626463" w:rsidRPr="00ED5F1A" w:rsidRDefault="00000000" w:rsidP="00ED5F1A">
      <w:pPr>
        <w:pStyle w:val="MdListItem"/>
        <w:numPr>
          <w:ilvl w:val="1"/>
          <w:numId w:val="3"/>
        </w:numPr>
        <w:jc w:val="both"/>
        <w:rPr>
          <w:rFonts w:asciiTheme="majorHAnsi" w:hAnsiTheme="majorHAnsi"/>
          <w:sz w:val="22"/>
          <w:szCs w:val="22"/>
        </w:rPr>
      </w:pPr>
      <w:r w:rsidRPr="00ED5F1A">
        <w:rPr>
          <w:rStyle w:val="MdStrong"/>
          <w:rFonts w:asciiTheme="majorHAnsi" w:hAnsiTheme="majorHAnsi"/>
          <w:sz w:val="22"/>
          <w:szCs w:val="22"/>
        </w:rPr>
        <w:t>Multa e Juros:</w:t>
      </w:r>
      <w:r w:rsidRPr="00ED5F1A">
        <w:rPr>
          <w:rFonts w:asciiTheme="majorHAnsi" w:hAnsiTheme="majorHAnsi"/>
          <w:sz w:val="22"/>
          <w:szCs w:val="22"/>
        </w:rPr>
        <w:t xml:space="preserve"> Qual será a multa (e.g., 10%, 20%) e os juros de mora aplicados sobre o valor não integralizado a partir do primeiro dia de atraso?</w:t>
      </w:r>
    </w:p>
    <w:p w14:paraId="289252C1" w14:textId="77777777" w:rsidR="00626463" w:rsidRPr="00ED5F1A" w:rsidRDefault="00000000" w:rsidP="00ED5F1A">
      <w:pPr>
        <w:pStyle w:val="MdListItem"/>
        <w:numPr>
          <w:ilvl w:val="1"/>
          <w:numId w:val="3"/>
        </w:numPr>
        <w:jc w:val="both"/>
        <w:rPr>
          <w:rFonts w:asciiTheme="majorHAnsi" w:hAnsiTheme="majorHAnsi"/>
          <w:sz w:val="22"/>
          <w:szCs w:val="22"/>
        </w:rPr>
      </w:pPr>
      <w:r w:rsidRPr="00ED5F1A">
        <w:rPr>
          <w:rStyle w:val="MdStrong"/>
          <w:rFonts w:asciiTheme="majorHAnsi" w:hAnsiTheme="majorHAnsi"/>
          <w:sz w:val="22"/>
          <w:szCs w:val="22"/>
        </w:rPr>
        <w:t>Suspensão de Direitos Políticos:</w:t>
      </w:r>
      <w:r w:rsidRPr="00ED5F1A">
        <w:rPr>
          <w:rFonts w:asciiTheme="majorHAnsi" w:hAnsiTheme="majorHAnsi"/>
          <w:sz w:val="22"/>
          <w:szCs w:val="22"/>
        </w:rPr>
        <w:t xml:space="preserve"> A partir de quantos dias de inadimplência o sócio devedor terá seus direitos de voto suspensos em todas as instâncias de governança (Conselho, Assembleia)?</w:t>
      </w:r>
    </w:p>
    <w:p w14:paraId="107D726F" w14:textId="77777777" w:rsidR="00626463" w:rsidRPr="00ED5F1A" w:rsidRDefault="00000000" w:rsidP="00ED5F1A">
      <w:pPr>
        <w:pStyle w:val="MdListItem"/>
        <w:numPr>
          <w:ilvl w:val="1"/>
          <w:numId w:val="3"/>
        </w:numPr>
        <w:jc w:val="both"/>
        <w:rPr>
          <w:rFonts w:asciiTheme="majorHAnsi" w:hAnsiTheme="majorHAnsi"/>
          <w:sz w:val="22"/>
          <w:szCs w:val="22"/>
        </w:rPr>
      </w:pPr>
      <w:r w:rsidRPr="00ED5F1A">
        <w:rPr>
          <w:rStyle w:val="MdStrong"/>
          <w:rFonts w:asciiTheme="majorHAnsi" w:hAnsiTheme="majorHAnsi"/>
          <w:sz w:val="22"/>
          <w:szCs w:val="22"/>
        </w:rPr>
        <w:t>Suspensão de Direitos Econômicos:</w:t>
      </w:r>
      <w:r w:rsidRPr="00ED5F1A">
        <w:rPr>
          <w:rFonts w:asciiTheme="majorHAnsi" w:hAnsiTheme="majorHAnsi"/>
          <w:sz w:val="22"/>
          <w:szCs w:val="22"/>
        </w:rPr>
        <w:t xml:space="preserve"> A inadimplência suspenderá o direito a recebimento de pró-labore, dividendos ou qualquer outra forma de remuneração até a quitação do débito?</w:t>
      </w:r>
    </w:p>
    <w:p w14:paraId="379BC845"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lastRenderedPageBreak/>
        <w:t xml:space="preserve">Mecanismo de Suprimento (Cure </w:t>
      </w:r>
      <w:proofErr w:type="spellStart"/>
      <w:r w:rsidRPr="00ED5F1A">
        <w:rPr>
          <w:rStyle w:val="MdStrong"/>
          <w:rFonts w:asciiTheme="majorHAnsi" w:hAnsiTheme="majorHAnsi"/>
          <w:sz w:val="22"/>
          <w:szCs w:val="22"/>
        </w:rPr>
        <w:t>Period</w:t>
      </w:r>
      <w:proofErr w:type="spellEnd"/>
      <w:r w:rsidRPr="00ED5F1A">
        <w:rPr>
          <w:rStyle w:val="MdStrong"/>
          <w:rFonts w:asciiTheme="majorHAnsi" w:hAnsiTheme="majorHAnsi"/>
          <w:sz w:val="22"/>
          <w:szCs w:val="22"/>
        </w:rPr>
        <w:t>):</w:t>
      </w:r>
      <w:r w:rsidRPr="00ED5F1A">
        <w:rPr>
          <w:rFonts w:asciiTheme="majorHAnsi" w:hAnsiTheme="majorHAnsi"/>
          <w:sz w:val="22"/>
          <w:szCs w:val="22"/>
        </w:rPr>
        <w:t xml:space="preserve"> Os sócios adimplentes terão o direito (mas não a obrigação) de aportar o valor devido pelo sócio inadimplente, para não comprometer a operação? Como esse aporte será tratado (mútuo conversível, opção de compra)?</w:t>
      </w:r>
    </w:p>
    <w:p w14:paraId="6E5EBE87"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t>Diluição Compulsória (</w:t>
      </w:r>
      <w:proofErr w:type="spellStart"/>
      <w:r w:rsidRPr="00ED5F1A">
        <w:rPr>
          <w:rStyle w:val="MdStrong"/>
          <w:rFonts w:asciiTheme="majorHAnsi" w:hAnsiTheme="majorHAnsi"/>
          <w:sz w:val="22"/>
          <w:szCs w:val="22"/>
        </w:rPr>
        <w:t>Punitive</w:t>
      </w:r>
      <w:proofErr w:type="spellEnd"/>
      <w:r w:rsidRPr="00ED5F1A">
        <w:rPr>
          <w:rStyle w:val="MdStrong"/>
          <w:rFonts w:asciiTheme="majorHAnsi" w:hAnsiTheme="majorHAnsi"/>
          <w:sz w:val="22"/>
          <w:szCs w:val="22"/>
        </w:rPr>
        <w:t xml:space="preserve"> </w:t>
      </w:r>
      <w:proofErr w:type="spellStart"/>
      <w:r w:rsidRPr="00ED5F1A">
        <w:rPr>
          <w:rStyle w:val="MdStrong"/>
          <w:rFonts w:asciiTheme="majorHAnsi" w:hAnsiTheme="majorHAnsi"/>
          <w:sz w:val="22"/>
          <w:szCs w:val="22"/>
        </w:rPr>
        <w:t>Dilution</w:t>
      </w:r>
      <w:proofErr w:type="spellEnd"/>
      <w:r w:rsidRPr="00ED5F1A">
        <w:rPr>
          <w:rStyle w:val="MdStrong"/>
          <w:rFonts w:asciiTheme="majorHAnsi" w:hAnsiTheme="majorHAnsi"/>
          <w:sz w:val="22"/>
          <w:szCs w:val="22"/>
        </w:rPr>
        <w:t>):</w:t>
      </w:r>
      <w:r w:rsidRPr="00ED5F1A">
        <w:rPr>
          <w:rFonts w:asciiTheme="majorHAnsi" w:hAnsiTheme="majorHAnsi"/>
          <w:sz w:val="22"/>
          <w:szCs w:val="22"/>
        </w:rPr>
        <w:t xml:space="preserve"> Caso o sócio não pague sua chamada de capital no prazo estipulado, os demais sócios (que aportaram a sua parte e/ou a do inadimplente) terão o direito de subscrever a participação do devedor com um deságio punitivo? Qual será o percentual desse deságio (e.g., 30%, 50%) sobre o valor patrimonial da participação?</w:t>
      </w:r>
    </w:p>
    <w:p w14:paraId="43C03B7A"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t>Opção de Compra Forçada (</w:t>
      </w:r>
      <w:proofErr w:type="spellStart"/>
      <w:r w:rsidRPr="00ED5F1A">
        <w:rPr>
          <w:rStyle w:val="MdStrong"/>
          <w:rFonts w:asciiTheme="majorHAnsi" w:hAnsiTheme="majorHAnsi"/>
          <w:sz w:val="22"/>
          <w:szCs w:val="22"/>
        </w:rPr>
        <w:t>Buy</w:t>
      </w:r>
      <w:proofErr w:type="spellEnd"/>
      <w:r w:rsidRPr="00ED5F1A">
        <w:rPr>
          <w:rStyle w:val="MdStrong"/>
          <w:rFonts w:asciiTheme="majorHAnsi" w:hAnsiTheme="majorHAnsi"/>
          <w:sz w:val="22"/>
          <w:szCs w:val="22"/>
        </w:rPr>
        <w:t>-out):</w:t>
      </w:r>
      <w:r w:rsidRPr="00ED5F1A">
        <w:rPr>
          <w:rFonts w:asciiTheme="majorHAnsi" w:hAnsiTheme="majorHAnsi"/>
          <w:sz w:val="22"/>
          <w:szCs w:val="22"/>
        </w:rPr>
        <w:t xml:space="preserve"> A inadimplência recorrente ou por um prazo superior a um determinado período (e.g., 90 dias) dará aos sócios adimplentes o direito de comprar compulsoriamente a participação do sócio devedor? Como será calculado o valor de compra nesse cenário (e.g., valor patrimonial contábil com deságio punitivo)?</w:t>
      </w:r>
    </w:p>
    <w:p w14:paraId="18E09A38" w14:textId="77777777" w:rsidR="00626463" w:rsidRPr="00ED5F1A" w:rsidRDefault="00626463" w:rsidP="00ED5F1A">
      <w:pPr>
        <w:pStyle w:val="MdSpace"/>
        <w:spacing w:after="60"/>
        <w:jc w:val="both"/>
        <w:rPr>
          <w:rFonts w:asciiTheme="majorHAnsi" w:hAnsiTheme="majorHAnsi"/>
          <w:sz w:val="22"/>
          <w:szCs w:val="22"/>
        </w:rPr>
      </w:pPr>
    </w:p>
    <w:p w14:paraId="7B8924B7" w14:textId="77777777" w:rsidR="00626463" w:rsidRPr="00ED5F1A" w:rsidRDefault="00000000" w:rsidP="00ED5F1A">
      <w:pPr>
        <w:pStyle w:val="MdHeading2"/>
        <w:jc w:val="both"/>
        <w:rPr>
          <w:rFonts w:asciiTheme="majorHAnsi" w:hAnsiTheme="majorHAnsi"/>
          <w:sz w:val="22"/>
          <w:szCs w:val="22"/>
        </w:rPr>
      </w:pPr>
      <w:r w:rsidRPr="00ED5F1A">
        <w:rPr>
          <w:rFonts w:asciiTheme="majorHAnsi" w:hAnsiTheme="majorHAnsi"/>
          <w:sz w:val="22"/>
          <w:szCs w:val="22"/>
        </w:rPr>
        <w:t>Bloco 3: Responsabilidade Regulatória e Técnica</w:t>
      </w:r>
    </w:p>
    <w:p w14:paraId="57528088" w14:textId="77777777" w:rsidR="00626463" w:rsidRPr="00ED5F1A" w:rsidRDefault="00000000" w:rsidP="00ED5F1A">
      <w:pPr>
        <w:pStyle w:val="MdParagraph"/>
        <w:jc w:val="both"/>
        <w:rPr>
          <w:rFonts w:asciiTheme="majorHAnsi" w:hAnsiTheme="majorHAnsi"/>
          <w:sz w:val="22"/>
          <w:szCs w:val="22"/>
        </w:rPr>
      </w:pPr>
      <w:r w:rsidRPr="00ED5F1A">
        <w:rPr>
          <w:rFonts w:asciiTheme="majorHAnsi" w:hAnsiTheme="majorHAnsi"/>
          <w:sz w:val="22"/>
          <w:szCs w:val="22"/>
        </w:rPr>
        <w:t>Este bloco foca na alocação de responsabilidades perante os órgãos reguladores e na criação de mecanismos para isolar a operação de riscos gerados pela conduta de um sócio ou administrador.</w:t>
      </w:r>
    </w:p>
    <w:p w14:paraId="1319CB95" w14:textId="77777777" w:rsidR="00626463" w:rsidRPr="00ED5F1A" w:rsidRDefault="00626463" w:rsidP="00ED5F1A">
      <w:pPr>
        <w:pStyle w:val="MdSpace"/>
        <w:spacing w:after="60"/>
        <w:jc w:val="both"/>
        <w:rPr>
          <w:rFonts w:asciiTheme="majorHAnsi" w:hAnsiTheme="majorHAnsi"/>
          <w:sz w:val="22"/>
          <w:szCs w:val="22"/>
        </w:rPr>
      </w:pPr>
    </w:p>
    <w:p w14:paraId="5FA3D55D"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t>Responsável Técnico perante a SUSEP:</w:t>
      </w:r>
      <w:r w:rsidRPr="00ED5F1A">
        <w:rPr>
          <w:rFonts w:asciiTheme="majorHAnsi" w:hAnsiTheme="majorHAnsi"/>
          <w:sz w:val="22"/>
          <w:szCs w:val="22"/>
        </w:rPr>
        <w:t xml:space="preserve"> Quem será o Diretor/Administrador estatutariamente designado como responsável técnico perante a SUSEP para a Seguradora e para a Administradora Mutualista? Quais critérios de qualificação e experiência serão exigidos para essa função?</w:t>
      </w:r>
    </w:p>
    <w:p w14:paraId="2B3D4081"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t>Segregação de Responsabilidades:</w:t>
      </w:r>
      <w:r w:rsidRPr="00ED5F1A">
        <w:rPr>
          <w:rFonts w:asciiTheme="majorHAnsi" w:hAnsiTheme="majorHAnsi"/>
          <w:sz w:val="22"/>
          <w:szCs w:val="22"/>
        </w:rPr>
        <w:t xml:space="preserve"> O Acordo de Sócios detalhará a completa segregação de responsabilidades entre a operação da Seguradora e da Administradora Mutualista, em linha com a LC 213/2025? Como será garantido que as atividades e os riscos de uma não contaminem a outra?</w:t>
      </w:r>
    </w:p>
    <w:p w14:paraId="67E06808"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t>Afastamento por Risco Regulatório:</w:t>
      </w:r>
      <w:r w:rsidRPr="00ED5F1A">
        <w:rPr>
          <w:rFonts w:asciiTheme="majorHAnsi" w:hAnsiTheme="majorHAnsi"/>
          <w:sz w:val="22"/>
          <w:szCs w:val="22"/>
        </w:rPr>
        <w:t xml:space="preserve"> Se um sócio ou administrador por ele indicado cometer um ato que coloque em risco a autorização de funcionamento (e.g., perda do requisito de idoneidade, sanção da SUSEP), qual será o procedimento para seu afastamento </w:t>
      </w:r>
      <w:r w:rsidRPr="00ED5F1A">
        <w:rPr>
          <w:rStyle w:val="MdStrong"/>
          <w:rFonts w:asciiTheme="majorHAnsi" w:hAnsiTheme="majorHAnsi"/>
          <w:sz w:val="22"/>
          <w:szCs w:val="22"/>
        </w:rPr>
        <w:t>imediato e automático</w:t>
      </w:r>
      <w:r w:rsidRPr="00ED5F1A">
        <w:rPr>
          <w:rFonts w:asciiTheme="majorHAnsi" w:hAnsiTheme="majorHAnsi"/>
          <w:sz w:val="22"/>
          <w:szCs w:val="22"/>
        </w:rPr>
        <w:t xml:space="preserve"> do cargo e de qualquer função de gestão?</w:t>
      </w:r>
    </w:p>
    <w:p w14:paraId="2703EC93"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t>Mecanismo de Voto de Afastamento:</w:t>
      </w:r>
      <w:r w:rsidRPr="00ED5F1A">
        <w:rPr>
          <w:rFonts w:asciiTheme="majorHAnsi" w:hAnsiTheme="majorHAnsi"/>
          <w:sz w:val="22"/>
          <w:szCs w:val="22"/>
        </w:rPr>
        <w:t xml:space="preserve"> O Acordo preverá uma cláusula que permita aos demais sócios, por maioria qualificada (e.g., 2/3), votar pelo afastamento de um sócio de suas funções administrativas caso sua conduta seja considerada um risco reputacional ou regulatório grave, mesmo antes de uma sanção formal da SUSEP?</w:t>
      </w:r>
    </w:p>
    <w:p w14:paraId="5C978BEE"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t>Responsabilidade por Multas e Sanções:</w:t>
      </w:r>
      <w:r w:rsidRPr="00ED5F1A">
        <w:rPr>
          <w:rFonts w:asciiTheme="majorHAnsi" w:hAnsiTheme="majorHAnsi"/>
          <w:sz w:val="22"/>
          <w:szCs w:val="22"/>
        </w:rPr>
        <w:t xml:space="preserve"> Se a empresa for multada pela SUSEP devido à conduta dolosa ou culposa comprovada de um sócio específico, esse sócio será obrigado a ressarcir a sociedade integralmente? Haverá direito de regresso automático previsto em contrato?</w:t>
      </w:r>
    </w:p>
    <w:p w14:paraId="3CE02312"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t>Comunicação com o Regulador:</w:t>
      </w:r>
      <w:r w:rsidRPr="00ED5F1A">
        <w:rPr>
          <w:rFonts w:asciiTheme="majorHAnsi" w:hAnsiTheme="majorHAnsi"/>
          <w:sz w:val="22"/>
          <w:szCs w:val="22"/>
        </w:rPr>
        <w:t xml:space="preserve"> Quem terá a prerrogativa de se comunicar oficialmente com a SUSEP e o CNSP? Como será o fluxo de aprovação interna para o envio de documentos e respostas a ofícios, a fim de evitar comunicações desalinhadas ou não autorizadas?</w:t>
      </w:r>
    </w:p>
    <w:p w14:paraId="53FD4A27" w14:textId="77777777" w:rsidR="00626463" w:rsidRPr="00ED5F1A" w:rsidRDefault="00626463" w:rsidP="00ED5F1A">
      <w:pPr>
        <w:pStyle w:val="MdSpace"/>
        <w:spacing w:after="60"/>
        <w:jc w:val="both"/>
        <w:rPr>
          <w:rFonts w:asciiTheme="majorHAnsi" w:hAnsiTheme="majorHAnsi"/>
          <w:sz w:val="22"/>
          <w:szCs w:val="22"/>
        </w:rPr>
      </w:pPr>
    </w:p>
    <w:p w14:paraId="37128FE3" w14:textId="77777777" w:rsidR="00626463" w:rsidRPr="00ED5F1A" w:rsidRDefault="00000000" w:rsidP="00ED5F1A">
      <w:pPr>
        <w:pStyle w:val="MdHeading2"/>
        <w:jc w:val="both"/>
        <w:rPr>
          <w:rFonts w:asciiTheme="majorHAnsi" w:hAnsiTheme="majorHAnsi"/>
          <w:sz w:val="22"/>
          <w:szCs w:val="22"/>
        </w:rPr>
      </w:pPr>
      <w:r w:rsidRPr="00ED5F1A">
        <w:rPr>
          <w:rFonts w:asciiTheme="majorHAnsi" w:hAnsiTheme="majorHAnsi"/>
          <w:sz w:val="22"/>
          <w:szCs w:val="22"/>
        </w:rPr>
        <w:t>Bloco 4: Poder, Veto e Travamento Decisório</w:t>
      </w:r>
    </w:p>
    <w:p w14:paraId="5E26C983" w14:textId="77777777" w:rsidR="00626463" w:rsidRPr="00ED5F1A" w:rsidRDefault="00000000" w:rsidP="00ED5F1A">
      <w:pPr>
        <w:pStyle w:val="MdParagraph"/>
        <w:jc w:val="both"/>
        <w:rPr>
          <w:rFonts w:asciiTheme="majorHAnsi" w:hAnsiTheme="majorHAnsi"/>
          <w:sz w:val="22"/>
          <w:szCs w:val="22"/>
        </w:rPr>
      </w:pPr>
      <w:r w:rsidRPr="00ED5F1A">
        <w:rPr>
          <w:rFonts w:asciiTheme="majorHAnsi" w:hAnsiTheme="majorHAnsi"/>
          <w:sz w:val="22"/>
          <w:szCs w:val="22"/>
        </w:rPr>
        <w:t>Com participações igualitárias (25% cada), o risco de impasses decisórios é elevado. Este bloco busca criar mecanismos para evitar a paralisia da gestão.</w:t>
      </w:r>
    </w:p>
    <w:p w14:paraId="110D7C76" w14:textId="77777777" w:rsidR="00626463" w:rsidRPr="00ED5F1A" w:rsidRDefault="00626463" w:rsidP="00ED5F1A">
      <w:pPr>
        <w:pStyle w:val="MdSpace"/>
        <w:spacing w:after="60"/>
        <w:jc w:val="both"/>
        <w:rPr>
          <w:rFonts w:asciiTheme="majorHAnsi" w:hAnsiTheme="majorHAnsi"/>
          <w:sz w:val="22"/>
          <w:szCs w:val="22"/>
        </w:rPr>
      </w:pPr>
    </w:p>
    <w:p w14:paraId="4D6C747D"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t>Matérias de Veto (Quórum Qualificado):</w:t>
      </w:r>
      <w:r w:rsidRPr="00ED5F1A">
        <w:rPr>
          <w:rFonts w:asciiTheme="majorHAnsi" w:hAnsiTheme="majorHAnsi"/>
          <w:sz w:val="22"/>
          <w:szCs w:val="22"/>
        </w:rPr>
        <w:t xml:space="preserve"> Quais decisões exigirão aprovação por quórum qualificado (e.g., 75% ou unanimidade)? A lista deve ser exaustiva e limitada a atos de extrema relevância (e.g., mudança de objeto social, fusão, venda de controle, endividamento acima de X% do PL), para evitar o uso abusivo do poder de veto no dia a dia.</w:t>
      </w:r>
    </w:p>
    <w:p w14:paraId="54BDAD09"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t>Decisões de Gestão Ordinária:</w:t>
      </w:r>
      <w:r w:rsidRPr="00ED5F1A">
        <w:rPr>
          <w:rFonts w:asciiTheme="majorHAnsi" w:hAnsiTheme="majorHAnsi"/>
          <w:sz w:val="22"/>
          <w:szCs w:val="22"/>
        </w:rPr>
        <w:t xml:space="preserve"> As decisões de gestão do dia a dia serão de competência da Diretoria Executiva, sem necessidade de aprovação constante do Conselho de Administração ou dos sócios, para garantir agilidade operacional?</w:t>
      </w:r>
    </w:p>
    <w:p w14:paraId="0BA41301"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t>Mecanismos de Desempate (Deadlock):</w:t>
      </w:r>
      <w:r w:rsidRPr="00ED5F1A">
        <w:rPr>
          <w:rFonts w:asciiTheme="majorHAnsi" w:hAnsiTheme="majorHAnsi"/>
          <w:sz w:val="22"/>
          <w:szCs w:val="22"/>
        </w:rPr>
        <w:t xml:space="preserve"> Em caso de empate em deliberações do Conselho de Administração ou da Assembleia de Sócios, qual será o mecanismo de desempate?</w:t>
      </w:r>
    </w:p>
    <w:p w14:paraId="3079D3F2" w14:textId="77777777" w:rsidR="00626463" w:rsidRPr="00ED5F1A" w:rsidRDefault="00000000" w:rsidP="00ED5F1A">
      <w:pPr>
        <w:pStyle w:val="MdListItem"/>
        <w:numPr>
          <w:ilvl w:val="1"/>
          <w:numId w:val="3"/>
        </w:numPr>
        <w:jc w:val="both"/>
        <w:rPr>
          <w:rFonts w:asciiTheme="majorHAnsi" w:hAnsiTheme="majorHAnsi"/>
          <w:sz w:val="22"/>
          <w:szCs w:val="22"/>
        </w:rPr>
      </w:pPr>
      <w:r w:rsidRPr="00ED5F1A">
        <w:rPr>
          <w:rStyle w:val="MdStrong"/>
          <w:rFonts w:asciiTheme="majorHAnsi" w:hAnsiTheme="majorHAnsi"/>
          <w:sz w:val="22"/>
          <w:szCs w:val="22"/>
        </w:rPr>
        <w:t>Voto de Minerva:</w:t>
      </w:r>
      <w:r w:rsidRPr="00ED5F1A">
        <w:rPr>
          <w:rFonts w:asciiTheme="majorHAnsi" w:hAnsiTheme="majorHAnsi"/>
          <w:sz w:val="22"/>
          <w:szCs w:val="22"/>
        </w:rPr>
        <w:t xml:space="preserve"> O Presidente do Conselho terá voto de qualidade?</w:t>
      </w:r>
    </w:p>
    <w:p w14:paraId="4CC4C8CC" w14:textId="77777777" w:rsidR="00626463" w:rsidRPr="00ED5F1A" w:rsidRDefault="00000000" w:rsidP="00ED5F1A">
      <w:pPr>
        <w:pStyle w:val="MdListItem"/>
        <w:numPr>
          <w:ilvl w:val="1"/>
          <w:numId w:val="3"/>
        </w:numPr>
        <w:jc w:val="both"/>
        <w:rPr>
          <w:rFonts w:asciiTheme="majorHAnsi" w:hAnsiTheme="majorHAnsi"/>
          <w:sz w:val="22"/>
          <w:szCs w:val="22"/>
        </w:rPr>
      </w:pPr>
      <w:r w:rsidRPr="00ED5F1A">
        <w:rPr>
          <w:rStyle w:val="MdStrong"/>
          <w:rFonts w:asciiTheme="majorHAnsi" w:hAnsiTheme="majorHAnsi"/>
          <w:sz w:val="22"/>
          <w:szCs w:val="22"/>
        </w:rPr>
        <w:lastRenderedPageBreak/>
        <w:t>Mediação Obrigatória:</w:t>
      </w:r>
      <w:r w:rsidRPr="00ED5F1A">
        <w:rPr>
          <w:rFonts w:asciiTheme="majorHAnsi" w:hAnsiTheme="majorHAnsi"/>
          <w:sz w:val="22"/>
          <w:szCs w:val="22"/>
        </w:rPr>
        <w:t xml:space="preserve"> As partes deverão submeter o impasse a um mediador independente antes de qualquer outra medida?</w:t>
      </w:r>
    </w:p>
    <w:p w14:paraId="34582ACD" w14:textId="77777777" w:rsidR="00626463" w:rsidRPr="00ED5F1A" w:rsidRDefault="00000000" w:rsidP="00ED5F1A">
      <w:pPr>
        <w:pStyle w:val="MdListItem"/>
        <w:numPr>
          <w:ilvl w:val="1"/>
          <w:numId w:val="3"/>
        </w:numPr>
        <w:jc w:val="both"/>
        <w:rPr>
          <w:rFonts w:asciiTheme="majorHAnsi" w:hAnsiTheme="majorHAnsi"/>
          <w:sz w:val="22"/>
          <w:szCs w:val="22"/>
        </w:rPr>
      </w:pPr>
      <w:r w:rsidRPr="00ED5F1A">
        <w:rPr>
          <w:rStyle w:val="MdStrong"/>
          <w:rFonts w:asciiTheme="majorHAnsi" w:hAnsiTheme="majorHAnsi"/>
          <w:sz w:val="22"/>
          <w:szCs w:val="22"/>
        </w:rPr>
        <w:t>Arbitragem Acelerada:</w:t>
      </w:r>
      <w:r w:rsidRPr="00ED5F1A">
        <w:rPr>
          <w:rFonts w:asciiTheme="majorHAnsi" w:hAnsiTheme="majorHAnsi"/>
          <w:sz w:val="22"/>
          <w:szCs w:val="22"/>
        </w:rPr>
        <w:t xml:space="preserve"> O Acordo preverá uma cláusula compromissória para submeter o impasse a um tribunal arbitral, com procedimento expedito?</w:t>
      </w:r>
    </w:p>
    <w:p w14:paraId="356EDB81"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t>Cláusula de Exclusão por Justa Causa Societária:</w:t>
      </w:r>
      <w:r w:rsidRPr="00ED5F1A">
        <w:rPr>
          <w:rFonts w:asciiTheme="majorHAnsi" w:hAnsiTheme="majorHAnsi"/>
          <w:sz w:val="22"/>
          <w:szCs w:val="22"/>
        </w:rPr>
        <w:t xml:space="preserve"> O bloqueio reiterado e injustificado de decisões vitais para a companhia, com o claro intuito de prejudicar a operação ou obter vantagens indevidas, será tipificado como justa causa para a exclusão do sócio obstrutivo?</w:t>
      </w:r>
    </w:p>
    <w:p w14:paraId="78E7C651" w14:textId="77777777" w:rsidR="00626463" w:rsidRPr="00ED5F1A" w:rsidRDefault="00000000" w:rsidP="00ED5F1A">
      <w:pPr>
        <w:pStyle w:val="MdListItem"/>
        <w:numPr>
          <w:ilvl w:val="0"/>
          <w:numId w:val="2"/>
        </w:numPr>
        <w:jc w:val="both"/>
        <w:rPr>
          <w:rFonts w:asciiTheme="majorHAnsi" w:hAnsiTheme="majorHAnsi"/>
          <w:sz w:val="22"/>
          <w:szCs w:val="22"/>
        </w:rPr>
      </w:pPr>
      <w:proofErr w:type="spellStart"/>
      <w:r w:rsidRPr="00ED5F1A">
        <w:rPr>
          <w:rStyle w:val="MdStrong"/>
          <w:rFonts w:asciiTheme="majorHAnsi" w:hAnsiTheme="majorHAnsi"/>
          <w:sz w:val="22"/>
          <w:szCs w:val="22"/>
        </w:rPr>
        <w:t>Shotgun</w:t>
      </w:r>
      <w:proofErr w:type="spellEnd"/>
      <w:r w:rsidRPr="00ED5F1A">
        <w:rPr>
          <w:rStyle w:val="MdStrong"/>
          <w:rFonts w:asciiTheme="majorHAnsi" w:hAnsiTheme="majorHAnsi"/>
          <w:sz w:val="22"/>
          <w:szCs w:val="22"/>
        </w:rPr>
        <w:t xml:space="preserve"> </w:t>
      </w:r>
      <w:proofErr w:type="spellStart"/>
      <w:r w:rsidRPr="00ED5F1A">
        <w:rPr>
          <w:rStyle w:val="MdStrong"/>
          <w:rFonts w:asciiTheme="majorHAnsi" w:hAnsiTheme="majorHAnsi"/>
          <w:sz w:val="22"/>
          <w:szCs w:val="22"/>
        </w:rPr>
        <w:t>Clause</w:t>
      </w:r>
      <w:proofErr w:type="spellEnd"/>
      <w:r w:rsidRPr="00ED5F1A">
        <w:rPr>
          <w:rStyle w:val="MdStrong"/>
          <w:rFonts w:asciiTheme="majorHAnsi" w:hAnsiTheme="majorHAnsi"/>
          <w:sz w:val="22"/>
          <w:szCs w:val="22"/>
        </w:rPr>
        <w:t xml:space="preserve"> (</w:t>
      </w:r>
      <w:proofErr w:type="spellStart"/>
      <w:r w:rsidRPr="00ED5F1A">
        <w:rPr>
          <w:rStyle w:val="MdStrong"/>
          <w:rFonts w:asciiTheme="majorHAnsi" w:hAnsiTheme="majorHAnsi"/>
          <w:sz w:val="22"/>
          <w:szCs w:val="22"/>
        </w:rPr>
        <w:t>Buy</w:t>
      </w:r>
      <w:proofErr w:type="spellEnd"/>
      <w:r w:rsidRPr="00ED5F1A">
        <w:rPr>
          <w:rStyle w:val="MdStrong"/>
          <w:rFonts w:asciiTheme="majorHAnsi" w:hAnsiTheme="majorHAnsi"/>
          <w:sz w:val="22"/>
          <w:szCs w:val="22"/>
        </w:rPr>
        <w:t xml:space="preserve">-Sell </w:t>
      </w:r>
      <w:proofErr w:type="spellStart"/>
      <w:r w:rsidRPr="00ED5F1A">
        <w:rPr>
          <w:rStyle w:val="MdStrong"/>
          <w:rFonts w:asciiTheme="majorHAnsi" w:hAnsiTheme="majorHAnsi"/>
          <w:sz w:val="22"/>
          <w:szCs w:val="22"/>
        </w:rPr>
        <w:t>Agreement</w:t>
      </w:r>
      <w:proofErr w:type="spellEnd"/>
      <w:r w:rsidRPr="00ED5F1A">
        <w:rPr>
          <w:rStyle w:val="MdStrong"/>
          <w:rFonts w:asciiTheme="majorHAnsi" w:hAnsiTheme="majorHAnsi"/>
          <w:sz w:val="22"/>
          <w:szCs w:val="22"/>
        </w:rPr>
        <w:t>):</w:t>
      </w:r>
      <w:r w:rsidRPr="00ED5F1A">
        <w:rPr>
          <w:rFonts w:asciiTheme="majorHAnsi" w:hAnsiTheme="majorHAnsi"/>
          <w:sz w:val="22"/>
          <w:szCs w:val="22"/>
        </w:rPr>
        <w:t xml:space="preserve"> O Acordo contemplará uma cláusula de "</w:t>
      </w:r>
      <w:proofErr w:type="spellStart"/>
      <w:r w:rsidRPr="00ED5F1A">
        <w:rPr>
          <w:rFonts w:asciiTheme="majorHAnsi" w:hAnsiTheme="majorHAnsi"/>
          <w:sz w:val="22"/>
          <w:szCs w:val="22"/>
        </w:rPr>
        <w:t>shotgun</w:t>
      </w:r>
      <w:proofErr w:type="spellEnd"/>
      <w:r w:rsidRPr="00ED5F1A">
        <w:rPr>
          <w:rFonts w:asciiTheme="majorHAnsi" w:hAnsiTheme="majorHAnsi"/>
          <w:sz w:val="22"/>
          <w:szCs w:val="22"/>
        </w:rPr>
        <w:t>"? Como ela será estruturada? (e.g., o sócio A oferece comprar a participação do sócio B por um preço X; o sócio B é obrigado a vender ou a comprar a participação de A pelo mesmo preço X). Este é um mecanismo drástico, mas eficaz para resolver impasses graves.</w:t>
      </w:r>
    </w:p>
    <w:p w14:paraId="058F7762" w14:textId="77777777" w:rsidR="00626463" w:rsidRPr="00ED5F1A" w:rsidRDefault="00626463" w:rsidP="00ED5F1A">
      <w:pPr>
        <w:pStyle w:val="MdSpace"/>
        <w:spacing w:after="60"/>
        <w:jc w:val="both"/>
        <w:rPr>
          <w:rFonts w:asciiTheme="majorHAnsi" w:hAnsiTheme="majorHAnsi"/>
          <w:sz w:val="22"/>
          <w:szCs w:val="22"/>
        </w:rPr>
      </w:pPr>
    </w:p>
    <w:p w14:paraId="6BE3A3EB" w14:textId="77777777" w:rsidR="00626463" w:rsidRPr="00ED5F1A" w:rsidRDefault="00000000" w:rsidP="00ED5F1A">
      <w:pPr>
        <w:pStyle w:val="MdHeading2"/>
        <w:jc w:val="both"/>
        <w:rPr>
          <w:rFonts w:asciiTheme="majorHAnsi" w:hAnsiTheme="majorHAnsi"/>
          <w:sz w:val="22"/>
          <w:szCs w:val="22"/>
        </w:rPr>
      </w:pPr>
      <w:r w:rsidRPr="00ED5F1A">
        <w:rPr>
          <w:rFonts w:asciiTheme="majorHAnsi" w:hAnsiTheme="majorHAnsi"/>
          <w:sz w:val="22"/>
          <w:szCs w:val="22"/>
        </w:rPr>
        <w:t>Bloco 5: Remuneração, Retiradas e Distribuição de Resultados</w:t>
      </w:r>
    </w:p>
    <w:p w14:paraId="17146CDA" w14:textId="77777777" w:rsidR="00626463" w:rsidRPr="00ED5F1A" w:rsidRDefault="00000000" w:rsidP="00ED5F1A">
      <w:pPr>
        <w:pStyle w:val="MdParagraph"/>
        <w:jc w:val="both"/>
        <w:rPr>
          <w:rFonts w:asciiTheme="majorHAnsi" w:hAnsiTheme="majorHAnsi"/>
          <w:sz w:val="22"/>
          <w:szCs w:val="22"/>
        </w:rPr>
      </w:pPr>
      <w:r w:rsidRPr="00ED5F1A">
        <w:rPr>
          <w:rFonts w:asciiTheme="majorHAnsi" w:hAnsiTheme="majorHAnsi"/>
          <w:sz w:val="22"/>
          <w:szCs w:val="22"/>
        </w:rPr>
        <w:t>Este bloco visa garantir que a política de remuneração e distribuição de lucros não comprometa a solvência, o capital regulatório e a capacidade de investimento da companhia.</w:t>
      </w:r>
    </w:p>
    <w:p w14:paraId="05A0B20D" w14:textId="77777777" w:rsidR="00626463" w:rsidRPr="00ED5F1A" w:rsidRDefault="00626463" w:rsidP="00ED5F1A">
      <w:pPr>
        <w:pStyle w:val="MdSpace"/>
        <w:spacing w:after="60"/>
        <w:jc w:val="both"/>
        <w:rPr>
          <w:rFonts w:asciiTheme="majorHAnsi" w:hAnsiTheme="majorHAnsi"/>
          <w:sz w:val="22"/>
          <w:szCs w:val="22"/>
        </w:rPr>
      </w:pPr>
    </w:p>
    <w:p w14:paraId="00DB61D0"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t>Política de Pró-labore:</w:t>
      </w:r>
      <w:r w:rsidRPr="00ED5F1A">
        <w:rPr>
          <w:rFonts w:asciiTheme="majorHAnsi" w:hAnsiTheme="majorHAnsi"/>
          <w:sz w:val="22"/>
          <w:szCs w:val="22"/>
        </w:rPr>
        <w:t xml:space="preserve"> Como será definido o pró-labore dos sócios que atuarem na gestão? Será atrelado a benchmarks de mercado para funções similares? A aprovação dependerá de qual quórum?</w:t>
      </w:r>
    </w:p>
    <w:p w14:paraId="7B4407CE"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t>Remuneração Variável:</w:t>
      </w:r>
      <w:r w:rsidRPr="00ED5F1A">
        <w:rPr>
          <w:rFonts w:asciiTheme="majorHAnsi" w:hAnsiTheme="majorHAnsi"/>
          <w:sz w:val="22"/>
          <w:szCs w:val="22"/>
        </w:rPr>
        <w:t xml:space="preserve"> Haverá política de remuneração variável (bônus)? Quais serão os gatilhos (metas de performance, lucro </w:t>
      </w:r>
      <w:proofErr w:type="gramStart"/>
      <w:r w:rsidRPr="00ED5F1A">
        <w:rPr>
          <w:rFonts w:asciiTheme="majorHAnsi" w:hAnsiTheme="majorHAnsi"/>
          <w:sz w:val="22"/>
          <w:szCs w:val="22"/>
        </w:rPr>
        <w:t>líquido, etc.</w:t>
      </w:r>
      <w:proofErr w:type="gramEnd"/>
      <w:r w:rsidRPr="00ED5F1A">
        <w:rPr>
          <w:rFonts w:asciiTheme="majorHAnsi" w:hAnsiTheme="majorHAnsi"/>
          <w:sz w:val="22"/>
          <w:szCs w:val="22"/>
        </w:rPr>
        <w:t>)? A distribuição de bônus será suspensa caso a companhia não atenda aos requisitos de capital da SUSEP?</w:t>
      </w:r>
    </w:p>
    <w:p w14:paraId="7BEC6038"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t>Política de Distribuição de Dividendos:</w:t>
      </w:r>
      <w:r w:rsidRPr="00ED5F1A">
        <w:rPr>
          <w:rFonts w:asciiTheme="majorHAnsi" w:hAnsiTheme="majorHAnsi"/>
          <w:sz w:val="22"/>
          <w:szCs w:val="22"/>
        </w:rPr>
        <w:t xml:space="preserve"> Qual percentual mínimo do lucro líquido será retido para reinvestimento, constituição de reservas de capital e fortalecimento da solvência? A distribuição de dividendos será condicionada à aprovação prévia do Conselho de Administração e ao cumprimento de todos os indicadores regulatórios da SUSEP?</w:t>
      </w:r>
    </w:p>
    <w:p w14:paraId="36344FC9"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t>Vedação a Antecipações:</w:t>
      </w:r>
      <w:r w:rsidRPr="00ED5F1A">
        <w:rPr>
          <w:rFonts w:asciiTheme="majorHAnsi" w:hAnsiTheme="majorHAnsi"/>
          <w:sz w:val="22"/>
          <w:szCs w:val="22"/>
        </w:rPr>
        <w:t xml:space="preserve"> O Acordo de Sócios vedará expressamente qualquer forma de antecipação de lucros, distribuição de resultados intermediários ou retiradas que não sejam baseadas em balanços anuais auditados e aprovados?</w:t>
      </w:r>
    </w:p>
    <w:p w14:paraId="0FE5AD36"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t>Limites de Endividamento e Despesas:</w:t>
      </w:r>
      <w:r w:rsidRPr="00ED5F1A">
        <w:rPr>
          <w:rFonts w:asciiTheme="majorHAnsi" w:hAnsiTheme="majorHAnsi"/>
          <w:sz w:val="22"/>
          <w:szCs w:val="22"/>
        </w:rPr>
        <w:t xml:space="preserve"> Serão estabelecidos limites claros para despesas administrativas e endividamento da companhia (e.g., atrelados a um percentual da receita ou do PL), cuja extrapolação exija aprovação por quórum qualificado?</w:t>
      </w:r>
    </w:p>
    <w:p w14:paraId="459F1A9F" w14:textId="77777777" w:rsidR="00626463" w:rsidRPr="00ED5F1A" w:rsidRDefault="00626463" w:rsidP="00ED5F1A">
      <w:pPr>
        <w:pStyle w:val="MdSpace"/>
        <w:spacing w:after="60"/>
        <w:jc w:val="both"/>
        <w:rPr>
          <w:rFonts w:asciiTheme="majorHAnsi" w:hAnsiTheme="majorHAnsi"/>
          <w:sz w:val="22"/>
          <w:szCs w:val="22"/>
        </w:rPr>
      </w:pPr>
    </w:p>
    <w:p w14:paraId="03CD25D3" w14:textId="77777777" w:rsidR="00626463" w:rsidRPr="00ED5F1A" w:rsidRDefault="00000000" w:rsidP="00ED5F1A">
      <w:pPr>
        <w:pStyle w:val="MdHeading2"/>
        <w:jc w:val="both"/>
        <w:rPr>
          <w:rFonts w:asciiTheme="majorHAnsi" w:hAnsiTheme="majorHAnsi"/>
          <w:sz w:val="22"/>
          <w:szCs w:val="22"/>
        </w:rPr>
      </w:pPr>
      <w:r w:rsidRPr="00ED5F1A">
        <w:rPr>
          <w:rFonts w:asciiTheme="majorHAnsi" w:hAnsiTheme="majorHAnsi"/>
          <w:sz w:val="22"/>
          <w:szCs w:val="22"/>
        </w:rPr>
        <w:t>Bloco 6: Conflitos, Conduta e Quebra de Confiança</w:t>
      </w:r>
    </w:p>
    <w:p w14:paraId="7030BDE1" w14:textId="77777777" w:rsidR="00626463" w:rsidRPr="00ED5F1A" w:rsidRDefault="00000000" w:rsidP="00ED5F1A">
      <w:pPr>
        <w:pStyle w:val="MdParagraph"/>
        <w:jc w:val="both"/>
        <w:rPr>
          <w:rFonts w:asciiTheme="majorHAnsi" w:hAnsiTheme="majorHAnsi"/>
          <w:sz w:val="22"/>
          <w:szCs w:val="22"/>
        </w:rPr>
      </w:pPr>
      <w:r w:rsidRPr="00ED5F1A">
        <w:rPr>
          <w:rFonts w:asciiTheme="majorHAnsi" w:hAnsiTheme="majorHAnsi"/>
          <w:sz w:val="22"/>
          <w:szCs w:val="22"/>
        </w:rPr>
        <w:t>Este bloco estabelece um código de conduta claro e as consequências para a violação de deveres fiduciários, protegendo a empresa de comportamentos desalinhados ou maliciosos.</w:t>
      </w:r>
    </w:p>
    <w:p w14:paraId="18F163B7" w14:textId="77777777" w:rsidR="00626463" w:rsidRPr="00ED5F1A" w:rsidRDefault="00626463" w:rsidP="00ED5F1A">
      <w:pPr>
        <w:pStyle w:val="MdSpace"/>
        <w:spacing w:after="60"/>
        <w:jc w:val="both"/>
        <w:rPr>
          <w:rFonts w:asciiTheme="majorHAnsi" w:hAnsiTheme="majorHAnsi"/>
          <w:sz w:val="22"/>
          <w:szCs w:val="22"/>
        </w:rPr>
      </w:pPr>
    </w:p>
    <w:p w14:paraId="7F8B2A6F"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t>Dever de Dedicação e Não Concorrência (Non-Compete):</w:t>
      </w:r>
      <w:r w:rsidRPr="00ED5F1A">
        <w:rPr>
          <w:rFonts w:asciiTheme="majorHAnsi" w:hAnsiTheme="majorHAnsi"/>
          <w:sz w:val="22"/>
          <w:szCs w:val="22"/>
        </w:rPr>
        <w:t xml:space="preserve"> O Acordo preverá uma cláusula de não concorrência, impedindo que os sócios participem, direta ou indiretamente, de negócios concorrentes enquanto forem sócios e por um período após a sua saída (e.g., 2 a 5 anos)? A cláusula abrangerá os mercados de seguros, proteção mutualista, MGA, corretoras e consórcios?</w:t>
      </w:r>
    </w:p>
    <w:p w14:paraId="18E7E50E"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t>Confidencialidade e Não Aliciamento (Non-</w:t>
      </w:r>
      <w:proofErr w:type="spellStart"/>
      <w:r w:rsidRPr="00ED5F1A">
        <w:rPr>
          <w:rStyle w:val="MdStrong"/>
          <w:rFonts w:asciiTheme="majorHAnsi" w:hAnsiTheme="majorHAnsi"/>
          <w:sz w:val="22"/>
          <w:szCs w:val="22"/>
        </w:rPr>
        <w:t>Solicitation</w:t>
      </w:r>
      <w:proofErr w:type="spellEnd"/>
      <w:r w:rsidRPr="00ED5F1A">
        <w:rPr>
          <w:rStyle w:val="MdStrong"/>
          <w:rFonts w:asciiTheme="majorHAnsi" w:hAnsiTheme="majorHAnsi"/>
          <w:sz w:val="22"/>
          <w:szCs w:val="22"/>
        </w:rPr>
        <w:t>):</w:t>
      </w:r>
      <w:r w:rsidRPr="00ED5F1A">
        <w:rPr>
          <w:rFonts w:asciiTheme="majorHAnsi" w:hAnsiTheme="majorHAnsi"/>
          <w:sz w:val="22"/>
          <w:szCs w:val="22"/>
        </w:rPr>
        <w:t xml:space="preserve"> Haverá cláusula de confidencialidade (NDA) e de não aliciamento, proibindo os sócios de usar informações estratégicas da companhia para fins privados e de contratar/</w:t>
      </w:r>
      <w:proofErr w:type="spellStart"/>
      <w:r w:rsidRPr="00ED5F1A">
        <w:rPr>
          <w:rFonts w:asciiTheme="majorHAnsi" w:hAnsiTheme="majorHAnsi"/>
          <w:sz w:val="22"/>
          <w:szCs w:val="22"/>
        </w:rPr>
        <w:t>assediarc</w:t>
      </w:r>
      <w:proofErr w:type="spellEnd"/>
      <w:r w:rsidRPr="00ED5F1A">
        <w:rPr>
          <w:rFonts w:asciiTheme="majorHAnsi" w:hAnsiTheme="majorHAnsi"/>
          <w:sz w:val="22"/>
          <w:szCs w:val="22"/>
        </w:rPr>
        <w:t xml:space="preserve"> colaboradores-chave por um período determinado após a saída?</w:t>
      </w:r>
    </w:p>
    <w:p w14:paraId="134AFFD0"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t>Condutas Vedadas:</w:t>
      </w:r>
      <w:r w:rsidRPr="00ED5F1A">
        <w:rPr>
          <w:rFonts w:asciiTheme="majorHAnsi" w:hAnsiTheme="majorHAnsi"/>
          <w:sz w:val="22"/>
          <w:szCs w:val="22"/>
        </w:rPr>
        <w:t xml:space="preserve"> O Acordo listará condutas específicas que são consideradas quebra grave do dever fiduciário, como uso indevido da marca, desvio de oportunidade de negócio, negociação com partes relacionadas sem aprovação, e exposição negativa da empresa na mídia ou em redes sociais?</w:t>
      </w:r>
    </w:p>
    <w:p w14:paraId="3F448B1B"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t>Consequências da Quebra de Dever Fiduciário:</w:t>
      </w:r>
      <w:r w:rsidRPr="00ED5F1A">
        <w:rPr>
          <w:rFonts w:asciiTheme="majorHAnsi" w:hAnsiTheme="majorHAnsi"/>
          <w:sz w:val="22"/>
          <w:szCs w:val="22"/>
        </w:rPr>
        <w:t xml:space="preserve"> A comprovação de uma conduta vedada resultará em consequências automáticas, como a perda do cargo de administrador, a aplicação de multa contratual (</w:t>
      </w:r>
      <w:proofErr w:type="spellStart"/>
      <w:r w:rsidRPr="00ED5F1A">
        <w:rPr>
          <w:rFonts w:asciiTheme="majorHAnsi" w:hAnsiTheme="majorHAnsi"/>
          <w:sz w:val="22"/>
          <w:szCs w:val="22"/>
        </w:rPr>
        <w:t>liquidated</w:t>
      </w:r>
      <w:proofErr w:type="spellEnd"/>
      <w:r w:rsidRPr="00ED5F1A">
        <w:rPr>
          <w:rFonts w:asciiTheme="majorHAnsi" w:hAnsiTheme="majorHAnsi"/>
          <w:sz w:val="22"/>
          <w:szCs w:val="22"/>
        </w:rPr>
        <w:t xml:space="preserve"> </w:t>
      </w:r>
      <w:proofErr w:type="spellStart"/>
      <w:r w:rsidRPr="00ED5F1A">
        <w:rPr>
          <w:rFonts w:asciiTheme="majorHAnsi" w:hAnsiTheme="majorHAnsi"/>
          <w:sz w:val="22"/>
          <w:szCs w:val="22"/>
        </w:rPr>
        <w:t>damages</w:t>
      </w:r>
      <w:proofErr w:type="spellEnd"/>
      <w:r w:rsidRPr="00ED5F1A">
        <w:rPr>
          <w:rFonts w:asciiTheme="majorHAnsi" w:hAnsiTheme="majorHAnsi"/>
          <w:sz w:val="22"/>
          <w:szCs w:val="22"/>
        </w:rPr>
        <w:t>) e a possibilidade de exclusão por justa causa?</w:t>
      </w:r>
    </w:p>
    <w:p w14:paraId="43995BA8"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lastRenderedPageBreak/>
        <w:t>Canal de Denúncias e Apuração:</w:t>
      </w:r>
      <w:r w:rsidRPr="00ED5F1A">
        <w:rPr>
          <w:rFonts w:asciiTheme="majorHAnsi" w:hAnsiTheme="majorHAnsi"/>
          <w:sz w:val="22"/>
          <w:szCs w:val="22"/>
        </w:rPr>
        <w:t xml:space="preserve"> Será implementado um mecanismo formal para apuração de denúncias de má conduta de um sócio, garantindo o direito de defesa, mas com um procedimento rápido e objetivo, possivelmente conduzido por um comitê independente ou por auditoria externa?</w:t>
      </w:r>
    </w:p>
    <w:p w14:paraId="2FDA4A96" w14:textId="77777777" w:rsidR="00626463" w:rsidRPr="00ED5F1A" w:rsidRDefault="00626463" w:rsidP="00ED5F1A">
      <w:pPr>
        <w:pStyle w:val="MdSpace"/>
        <w:spacing w:after="60"/>
        <w:jc w:val="both"/>
        <w:rPr>
          <w:rFonts w:asciiTheme="majorHAnsi" w:hAnsiTheme="majorHAnsi"/>
          <w:sz w:val="22"/>
          <w:szCs w:val="22"/>
        </w:rPr>
      </w:pPr>
    </w:p>
    <w:p w14:paraId="646C2FD0" w14:textId="77777777" w:rsidR="00626463" w:rsidRPr="00ED5F1A" w:rsidRDefault="00000000" w:rsidP="00ED5F1A">
      <w:pPr>
        <w:pStyle w:val="MdHeading2"/>
        <w:jc w:val="both"/>
        <w:rPr>
          <w:rFonts w:asciiTheme="majorHAnsi" w:hAnsiTheme="majorHAnsi"/>
          <w:sz w:val="22"/>
          <w:szCs w:val="22"/>
        </w:rPr>
      </w:pPr>
      <w:r w:rsidRPr="00ED5F1A">
        <w:rPr>
          <w:rFonts w:asciiTheme="majorHAnsi" w:hAnsiTheme="majorHAnsi"/>
          <w:sz w:val="22"/>
          <w:szCs w:val="22"/>
        </w:rPr>
        <w:t>Bloco 7: Saída, Exclusão e Liquidação</w:t>
      </w:r>
    </w:p>
    <w:p w14:paraId="257317CE" w14:textId="77777777" w:rsidR="00626463" w:rsidRPr="00ED5F1A" w:rsidRDefault="00000000" w:rsidP="00ED5F1A">
      <w:pPr>
        <w:pStyle w:val="MdParagraph"/>
        <w:jc w:val="both"/>
        <w:rPr>
          <w:rFonts w:asciiTheme="majorHAnsi" w:hAnsiTheme="majorHAnsi"/>
          <w:sz w:val="22"/>
          <w:szCs w:val="22"/>
        </w:rPr>
      </w:pPr>
      <w:r w:rsidRPr="00ED5F1A">
        <w:rPr>
          <w:rFonts w:asciiTheme="majorHAnsi" w:hAnsiTheme="majorHAnsi"/>
          <w:sz w:val="22"/>
          <w:szCs w:val="22"/>
        </w:rPr>
        <w:t>Este bloco é crucial para garantir a continuidade da empresa e evitar a judicialização em eventos de saída de sócios, sejam eles voluntários ou forçados.</w:t>
      </w:r>
    </w:p>
    <w:p w14:paraId="4B64FA20" w14:textId="77777777" w:rsidR="00626463" w:rsidRPr="00ED5F1A" w:rsidRDefault="00626463" w:rsidP="00ED5F1A">
      <w:pPr>
        <w:pStyle w:val="MdSpace"/>
        <w:spacing w:after="60"/>
        <w:jc w:val="both"/>
        <w:rPr>
          <w:rFonts w:asciiTheme="majorHAnsi" w:hAnsiTheme="majorHAnsi"/>
          <w:sz w:val="22"/>
          <w:szCs w:val="22"/>
        </w:rPr>
      </w:pPr>
    </w:p>
    <w:p w14:paraId="7BDC719E"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t>Direito de Saída Voluntária (Retirada):</w:t>
      </w:r>
      <w:r w:rsidRPr="00ED5F1A">
        <w:rPr>
          <w:rFonts w:asciiTheme="majorHAnsi" w:hAnsiTheme="majorHAnsi"/>
          <w:sz w:val="22"/>
          <w:szCs w:val="22"/>
        </w:rPr>
        <w:t xml:space="preserve"> A partir de quando um sócio poderá exercer seu direito de retirada? Haverá um período de </w:t>
      </w:r>
      <w:proofErr w:type="spellStart"/>
      <w:r w:rsidRPr="00ED5F1A">
        <w:rPr>
          <w:rFonts w:asciiTheme="majorHAnsi" w:hAnsiTheme="majorHAnsi"/>
          <w:sz w:val="22"/>
          <w:szCs w:val="22"/>
        </w:rPr>
        <w:t>lock-up</w:t>
      </w:r>
      <w:proofErr w:type="spellEnd"/>
      <w:r w:rsidRPr="00ED5F1A">
        <w:rPr>
          <w:rFonts w:asciiTheme="majorHAnsi" w:hAnsiTheme="majorHAnsi"/>
          <w:sz w:val="22"/>
          <w:szCs w:val="22"/>
        </w:rPr>
        <w:t xml:space="preserve"> inicial (e.g., 5 anos) durante o qual a saída não é permitida para garantir a estabilidade do projeto?</w:t>
      </w:r>
    </w:p>
    <w:p w14:paraId="52FFABFD"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t>Procedimento de Saída:</w:t>
      </w:r>
      <w:r w:rsidRPr="00ED5F1A">
        <w:rPr>
          <w:rFonts w:asciiTheme="majorHAnsi" w:hAnsiTheme="majorHAnsi"/>
          <w:sz w:val="22"/>
          <w:szCs w:val="22"/>
        </w:rPr>
        <w:t xml:space="preserve"> Qual será o procedimento para a saída voluntária? Notificação prévia com antecedência mínima (e.g., 180 dias)? Como será o apuramento de haveres? O pagamento será parcelado (e.g., em 24 ou 36 meses) para não descapitalizar a empresa?</w:t>
      </w:r>
    </w:p>
    <w:p w14:paraId="3575F0D6" w14:textId="77777777" w:rsidR="00626463" w:rsidRPr="00ED5F1A" w:rsidRDefault="00000000" w:rsidP="00ED5F1A">
      <w:pPr>
        <w:pStyle w:val="MdListItem"/>
        <w:numPr>
          <w:ilvl w:val="0"/>
          <w:numId w:val="2"/>
        </w:numPr>
        <w:jc w:val="both"/>
        <w:rPr>
          <w:rFonts w:asciiTheme="majorHAnsi" w:hAnsiTheme="majorHAnsi"/>
          <w:sz w:val="22"/>
          <w:szCs w:val="22"/>
        </w:rPr>
      </w:pPr>
      <w:proofErr w:type="spellStart"/>
      <w:r w:rsidRPr="00ED5F1A">
        <w:rPr>
          <w:rStyle w:val="MdStrong"/>
          <w:rFonts w:asciiTheme="majorHAnsi" w:hAnsiTheme="majorHAnsi"/>
          <w:sz w:val="22"/>
          <w:szCs w:val="22"/>
        </w:rPr>
        <w:t>Valuation</w:t>
      </w:r>
      <w:proofErr w:type="spellEnd"/>
      <w:r w:rsidRPr="00ED5F1A">
        <w:rPr>
          <w:rStyle w:val="MdStrong"/>
          <w:rFonts w:asciiTheme="majorHAnsi" w:hAnsiTheme="majorHAnsi"/>
          <w:sz w:val="22"/>
          <w:szCs w:val="22"/>
        </w:rPr>
        <w:t xml:space="preserve"> para Saída:</w:t>
      </w:r>
      <w:r w:rsidRPr="00ED5F1A">
        <w:rPr>
          <w:rFonts w:asciiTheme="majorHAnsi" w:hAnsiTheme="majorHAnsi"/>
          <w:sz w:val="22"/>
          <w:szCs w:val="22"/>
        </w:rPr>
        <w:t xml:space="preserve"> Como será calculado o valor da participação em caso de saída (voluntária, morte, divórcio)?</w:t>
      </w:r>
    </w:p>
    <w:p w14:paraId="08A5191D" w14:textId="77777777" w:rsidR="00626463" w:rsidRPr="00ED5F1A" w:rsidRDefault="00000000" w:rsidP="00ED5F1A">
      <w:pPr>
        <w:pStyle w:val="MdListItem"/>
        <w:numPr>
          <w:ilvl w:val="1"/>
          <w:numId w:val="3"/>
        </w:numPr>
        <w:jc w:val="both"/>
        <w:rPr>
          <w:rFonts w:asciiTheme="majorHAnsi" w:hAnsiTheme="majorHAnsi"/>
          <w:sz w:val="22"/>
          <w:szCs w:val="22"/>
        </w:rPr>
      </w:pPr>
      <w:r w:rsidRPr="00ED5F1A">
        <w:rPr>
          <w:rStyle w:val="MdStrong"/>
          <w:rFonts w:asciiTheme="majorHAnsi" w:hAnsiTheme="majorHAnsi"/>
          <w:sz w:val="22"/>
          <w:szCs w:val="22"/>
        </w:rPr>
        <w:t>Fórmula Pré-definida:</w:t>
      </w:r>
      <w:r w:rsidRPr="00ED5F1A">
        <w:rPr>
          <w:rFonts w:asciiTheme="majorHAnsi" w:hAnsiTheme="majorHAnsi"/>
          <w:sz w:val="22"/>
          <w:szCs w:val="22"/>
        </w:rPr>
        <w:t xml:space="preserve"> Será usada uma fórmula baseada em múltiplos de lucro ou valor patrimonial contábil?</w:t>
      </w:r>
    </w:p>
    <w:p w14:paraId="40C11912" w14:textId="77777777" w:rsidR="00626463" w:rsidRPr="00ED5F1A" w:rsidRDefault="00000000" w:rsidP="00ED5F1A">
      <w:pPr>
        <w:pStyle w:val="MdListItem"/>
        <w:numPr>
          <w:ilvl w:val="1"/>
          <w:numId w:val="3"/>
        </w:numPr>
        <w:jc w:val="both"/>
        <w:rPr>
          <w:rFonts w:asciiTheme="majorHAnsi" w:hAnsiTheme="majorHAnsi"/>
          <w:sz w:val="22"/>
          <w:szCs w:val="22"/>
        </w:rPr>
      </w:pPr>
      <w:r w:rsidRPr="00ED5F1A">
        <w:rPr>
          <w:rStyle w:val="MdStrong"/>
          <w:rFonts w:asciiTheme="majorHAnsi" w:hAnsiTheme="majorHAnsi"/>
          <w:sz w:val="22"/>
          <w:szCs w:val="22"/>
        </w:rPr>
        <w:t>Avaliação por Terceiro:</w:t>
      </w:r>
      <w:r w:rsidRPr="00ED5F1A">
        <w:rPr>
          <w:rFonts w:asciiTheme="majorHAnsi" w:hAnsiTheme="majorHAnsi"/>
          <w:sz w:val="22"/>
          <w:szCs w:val="22"/>
        </w:rPr>
        <w:t xml:space="preserve"> Será contratada uma empresa de avaliação independente (e.g., uma das "Big Four")? Como será o procedimento para escolhê-la e quem arcará com os custos?</w:t>
      </w:r>
    </w:p>
    <w:p w14:paraId="4AEB8F78"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t>Exclusão por Justa Causa:</w:t>
      </w:r>
      <w:r w:rsidRPr="00ED5F1A">
        <w:rPr>
          <w:rFonts w:asciiTheme="majorHAnsi" w:hAnsiTheme="majorHAnsi"/>
          <w:sz w:val="22"/>
          <w:szCs w:val="22"/>
        </w:rPr>
        <w:t xml:space="preserve"> O Acordo listará de forma exaustiva os atos considerados "justa causa" para exclusão do sócio (além dos previstos em lei), como inadimplência de aportes, quebra de não concorrência, condenação criminal transitada em julgado, sanção da SUSEP por ato </w:t>
      </w:r>
      <w:proofErr w:type="gramStart"/>
      <w:r w:rsidRPr="00ED5F1A">
        <w:rPr>
          <w:rFonts w:asciiTheme="majorHAnsi" w:hAnsiTheme="majorHAnsi"/>
          <w:sz w:val="22"/>
          <w:szCs w:val="22"/>
        </w:rPr>
        <w:t>doloso, etc.</w:t>
      </w:r>
      <w:proofErr w:type="gramEnd"/>
      <w:r w:rsidRPr="00ED5F1A">
        <w:rPr>
          <w:rFonts w:asciiTheme="majorHAnsi" w:hAnsiTheme="majorHAnsi"/>
          <w:sz w:val="22"/>
          <w:szCs w:val="22"/>
        </w:rPr>
        <w:t>?</w:t>
      </w:r>
    </w:p>
    <w:p w14:paraId="49EBD6D2" w14:textId="77777777" w:rsidR="00626463" w:rsidRPr="00ED5F1A" w:rsidRDefault="00000000" w:rsidP="00ED5F1A">
      <w:pPr>
        <w:pStyle w:val="MdListItem"/>
        <w:numPr>
          <w:ilvl w:val="0"/>
          <w:numId w:val="2"/>
        </w:numPr>
        <w:jc w:val="both"/>
        <w:rPr>
          <w:rFonts w:asciiTheme="majorHAnsi" w:hAnsiTheme="majorHAnsi"/>
          <w:sz w:val="22"/>
          <w:szCs w:val="22"/>
        </w:rPr>
      </w:pPr>
      <w:proofErr w:type="spellStart"/>
      <w:r w:rsidRPr="00ED5F1A">
        <w:rPr>
          <w:rStyle w:val="MdStrong"/>
          <w:rFonts w:asciiTheme="majorHAnsi" w:hAnsiTheme="majorHAnsi"/>
          <w:sz w:val="22"/>
          <w:szCs w:val="22"/>
        </w:rPr>
        <w:t>Valuation</w:t>
      </w:r>
      <w:proofErr w:type="spellEnd"/>
      <w:r w:rsidRPr="00ED5F1A">
        <w:rPr>
          <w:rStyle w:val="MdStrong"/>
          <w:rFonts w:asciiTheme="majorHAnsi" w:hAnsiTheme="majorHAnsi"/>
          <w:sz w:val="22"/>
          <w:szCs w:val="22"/>
        </w:rPr>
        <w:t xml:space="preserve"> na Exclusão por Justa Causa:</w:t>
      </w:r>
      <w:r w:rsidRPr="00ED5F1A">
        <w:rPr>
          <w:rFonts w:asciiTheme="majorHAnsi" w:hAnsiTheme="majorHAnsi"/>
          <w:sz w:val="22"/>
          <w:szCs w:val="22"/>
        </w:rPr>
        <w:t xml:space="preserve"> Em caso de exclusão por justa causa, o valor a ser pago pela participação sofrerá um deságio punitivo (e.g., 50%) sobre o valor de mercado apurado? O pagamento também será feito de forma parcelada?</w:t>
      </w:r>
    </w:p>
    <w:p w14:paraId="779D032A"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t xml:space="preserve">Direito de Preferência e </w:t>
      </w:r>
      <w:proofErr w:type="spellStart"/>
      <w:r w:rsidRPr="00ED5F1A">
        <w:rPr>
          <w:rStyle w:val="MdStrong"/>
          <w:rFonts w:asciiTheme="majorHAnsi" w:hAnsiTheme="majorHAnsi"/>
          <w:sz w:val="22"/>
          <w:szCs w:val="22"/>
        </w:rPr>
        <w:t>Tag</w:t>
      </w:r>
      <w:proofErr w:type="spellEnd"/>
      <w:r w:rsidRPr="00ED5F1A">
        <w:rPr>
          <w:rStyle w:val="MdStrong"/>
          <w:rFonts w:asciiTheme="majorHAnsi" w:hAnsiTheme="majorHAnsi"/>
          <w:sz w:val="22"/>
          <w:szCs w:val="22"/>
        </w:rPr>
        <w:t xml:space="preserve"> Along:</w:t>
      </w:r>
      <w:r w:rsidRPr="00ED5F1A">
        <w:rPr>
          <w:rFonts w:asciiTheme="majorHAnsi" w:hAnsiTheme="majorHAnsi"/>
          <w:sz w:val="22"/>
          <w:szCs w:val="22"/>
        </w:rPr>
        <w:t xml:space="preserve"> Em caso de venda da participação a terceiros, os sócios remanescentes terão direito de preferência na aquisição, nas mesmas condições? E em caso de venda do controle, os minoritários terão direito de venda conjunta (</w:t>
      </w:r>
      <w:proofErr w:type="spellStart"/>
      <w:r w:rsidRPr="00ED5F1A">
        <w:rPr>
          <w:rFonts w:asciiTheme="majorHAnsi" w:hAnsiTheme="majorHAnsi"/>
          <w:sz w:val="22"/>
          <w:szCs w:val="22"/>
        </w:rPr>
        <w:t>tag</w:t>
      </w:r>
      <w:proofErr w:type="spellEnd"/>
      <w:r w:rsidRPr="00ED5F1A">
        <w:rPr>
          <w:rFonts w:asciiTheme="majorHAnsi" w:hAnsiTheme="majorHAnsi"/>
          <w:sz w:val="22"/>
          <w:szCs w:val="22"/>
        </w:rPr>
        <w:t xml:space="preserve"> </w:t>
      </w:r>
      <w:proofErr w:type="spellStart"/>
      <w:r w:rsidRPr="00ED5F1A">
        <w:rPr>
          <w:rFonts w:asciiTheme="majorHAnsi" w:hAnsiTheme="majorHAnsi"/>
          <w:sz w:val="22"/>
          <w:szCs w:val="22"/>
        </w:rPr>
        <w:t>along</w:t>
      </w:r>
      <w:proofErr w:type="spellEnd"/>
      <w:r w:rsidRPr="00ED5F1A">
        <w:rPr>
          <w:rFonts w:asciiTheme="majorHAnsi" w:hAnsiTheme="majorHAnsi"/>
          <w:sz w:val="22"/>
          <w:szCs w:val="22"/>
        </w:rPr>
        <w:t>) de 100%?</w:t>
      </w:r>
    </w:p>
    <w:p w14:paraId="5D8F4A08"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t>Falecimento, Incapacidade e Divórcio:</w:t>
      </w:r>
      <w:r w:rsidRPr="00ED5F1A">
        <w:rPr>
          <w:rFonts w:asciiTheme="majorHAnsi" w:hAnsiTheme="majorHAnsi"/>
          <w:sz w:val="22"/>
          <w:szCs w:val="22"/>
        </w:rPr>
        <w:t xml:space="preserve"> Como serão tratados esses eventos? A sociedade será obrigada a aceitar herdeiros ou ex-cônjuges como sócios? Ou o Acordo preverá a liquidação obrigatória da participação, transformando-a em uma obrigação de pagamento aos sucessores para proteger a governança e a estabilidade do quadro societário?</w:t>
      </w:r>
    </w:p>
    <w:p w14:paraId="5D1804C6" w14:textId="77777777" w:rsidR="00626463" w:rsidRDefault="00626463" w:rsidP="00ED5F1A">
      <w:pPr>
        <w:pStyle w:val="MdSpace"/>
        <w:spacing w:after="60"/>
        <w:jc w:val="both"/>
        <w:rPr>
          <w:rFonts w:asciiTheme="majorHAnsi" w:hAnsiTheme="majorHAnsi"/>
          <w:sz w:val="22"/>
          <w:szCs w:val="22"/>
        </w:rPr>
      </w:pPr>
    </w:p>
    <w:p w14:paraId="46AF0426" w14:textId="77777777" w:rsidR="00ED5F1A" w:rsidRDefault="00ED5F1A" w:rsidP="00ED5F1A">
      <w:pPr>
        <w:pStyle w:val="MdSpace"/>
        <w:spacing w:after="60"/>
        <w:jc w:val="both"/>
        <w:rPr>
          <w:rFonts w:asciiTheme="majorHAnsi" w:hAnsiTheme="majorHAnsi"/>
          <w:sz w:val="22"/>
          <w:szCs w:val="22"/>
        </w:rPr>
      </w:pPr>
    </w:p>
    <w:p w14:paraId="6318CC27" w14:textId="77777777" w:rsidR="00ED5F1A" w:rsidRDefault="00ED5F1A" w:rsidP="00ED5F1A">
      <w:pPr>
        <w:pStyle w:val="MdSpace"/>
        <w:spacing w:after="60"/>
        <w:jc w:val="both"/>
        <w:rPr>
          <w:rFonts w:asciiTheme="majorHAnsi" w:hAnsiTheme="majorHAnsi"/>
          <w:sz w:val="22"/>
          <w:szCs w:val="22"/>
        </w:rPr>
      </w:pPr>
    </w:p>
    <w:p w14:paraId="0DCA15AE" w14:textId="77777777" w:rsidR="00ED5F1A" w:rsidRDefault="00ED5F1A" w:rsidP="00ED5F1A">
      <w:pPr>
        <w:pStyle w:val="MdSpace"/>
        <w:spacing w:after="60"/>
        <w:jc w:val="both"/>
        <w:rPr>
          <w:rFonts w:asciiTheme="majorHAnsi" w:hAnsiTheme="majorHAnsi"/>
          <w:sz w:val="22"/>
          <w:szCs w:val="22"/>
        </w:rPr>
      </w:pPr>
    </w:p>
    <w:p w14:paraId="6928C3FB" w14:textId="77777777" w:rsidR="00ED5F1A" w:rsidRDefault="00ED5F1A" w:rsidP="00ED5F1A">
      <w:pPr>
        <w:pStyle w:val="MdSpace"/>
        <w:spacing w:after="60"/>
        <w:jc w:val="both"/>
        <w:rPr>
          <w:rFonts w:asciiTheme="majorHAnsi" w:hAnsiTheme="majorHAnsi"/>
          <w:sz w:val="22"/>
          <w:szCs w:val="22"/>
        </w:rPr>
      </w:pPr>
    </w:p>
    <w:p w14:paraId="20A8E67B" w14:textId="77777777" w:rsidR="00ED5F1A" w:rsidRDefault="00ED5F1A" w:rsidP="00ED5F1A">
      <w:pPr>
        <w:pStyle w:val="MdSpace"/>
        <w:spacing w:after="60"/>
        <w:jc w:val="both"/>
        <w:rPr>
          <w:rFonts w:asciiTheme="majorHAnsi" w:hAnsiTheme="majorHAnsi"/>
          <w:sz w:val="22"/>
          <w:szCs w:val="22"/>
        </w:rPr>
      </w:pPr>
    </w:p>
    <w:p w14:paraId="09D24D47" w14:textId="77777777" w:rsidR="00ED5F1A" w:rsidRDefault="00ED5F1A" w:rsidP="00ED5F1A">
      <w:pPr>
        <w:pStyle w:val="MdSpace"/>
        <w:spacing w:after="60"/>
        <w:jc w:val="both"/>
        <w:rPr>
          <w:rFonts w:asciiTheme="majorHAnsi" w:hAnsiTheme="majorHAnsi"/>
          <w:sz w:val="22"/>
          <w:szCs w:val="22"/>
        </w:rPr>
      </w:pPr>
    </w:p>
    <w:p w14:paraId="57C07E3A" w14:textId="77777777" w:rsidR="00ED5F1A" w:rsidRDefault="00ED5F1A" w:rsidP="00ED5F1A">
      <w:pPr>
        <w:pStyle w:val="MdSpace"/>
        <w:spacing w:after="60"/>
        <w:jc w:val="both"/>
        <w:rPr>
          <w:rFonts w:asciiTheme="majorHAnsi" w:hAnsiTheme="majorHAnsi"/>
          <w:sz w:val="22"/>
          <w:szCs w:val="22"/>
        </w:rPr>
      </w:pPr>
    </w:p>
    <w:p w14:paraId="2976EE84" w14:textId="77777777" w:rsidR="00ED5F1A" w:rsidRDefault="00ED5F1A" w:rsidP="00ED5F1A">
      <w:pPr>
        <w:pStyle w:val="MdSpace"/>
        <w:spacing w:after="60"/>
        <w:jc w:val="both"/>
        <w:rPr>
          <w:rFonts w:asciiTheme="majorHAnsi" w:hAnsiTheme="majorHAnsi"/>
          <w:sz w:val="22"/>
          <w:szCs w:val="22"/>
        </w:rPr>
      </w:pPr>
    </w:p>
    <w:p w14:paraId="3AF184B4" w14:textId="77777777" w:rsidR="00ED5F1A" w:rsidRDefault="00ED5F1A" w:rsidP="00ED5F1A">
      <w:pPr>
        <w:pStyle w:val="MdSpace"/>
        <w:spacing w:after="60"/>
        <w:jc w:val="both"/>
        <w:rPr>
          <w:rFonts w:asciiTheme="majorHAnsi" w:hAnsiTheme="majorHAnsi"/>
          <w:sz w:val="22"/>
          <w:szCs w:val="22"/>
        </w:rPr>
      </w:pPr>
    </w:p>
    <w:p w14:paraId="7510874D" w14:textId="77777777" w:rsidR="00ED5F1A" w:rsidRDefault="00ED5F1A" w:rsidP="00ED5F1A">
      <w:pPr>
        <w:pStyle w:val="MdSpace"/>
        <w:spacing w:after="60"/>
        <w:jc w:val="both"/>
        <w:rPr>
          <w:rFonts w:asciiTheme="majorHAnsi" w:hAnsiTheme="majorHAnsi"/>
          <w:sz w:val="22"/>
          <w:szCs w:val="22"/>
        </w:rPr>
      </w:pPr>
    </w:p>
    <w:p w14:paraId="6A673BD3" w14:textId="77777777" w:rsidR="00ED5F1A" w:rsidRDefault="00ED5F1A" w:rsidP="00ED5F1A">
      <w:pPr>
        <w:pStyle w:val="MdSpace"/>
        <w:spacing w:after="60"/>
        <w:jc w:val="both"/>
        <w:rPr>
          <w:rFonts w:asciiTheme="majorHAnsi" w:hAnsiTheme="majorHAnsi"/>
          <w:sz w:val="22"/>
          <w:szCs w:val="22"/>
        </w:rPr>
      </w:pPr>
    </w:p>
    <w:p w14:paraId="5DD59A5D" w14:textId="77777777" w:rsidR="00ED5F1A" w:rsidRDefault="00ED5F1A" w:rsidP="00ED5F1A">
      <w:pPr>
        <w:pStyle w:val="MdSpace"/>
        <w:spacing w:after="60"/>
        <w:jc w:val="both"/>
        <w:rPr>
          <w:rFonts w:asciiTheme="majorHAnsi" w:hAnsiTheme="majorHAnsi"/>
          <w:sz w:val="22"/>
          <w:szCs w:val="22"/>
        </w:rPr>
      </w:pPr>
    </w:p>
    <w:p w14:paraId="333799A2" w14:textId="77777777" w:rsidR="00ED5F1A" w:rsidRDefault="00ED5F1A" w:rsidP="00ED5F1A">
      <w:pPr>
        <w:pStyle w:val="MdSpace"/>
        <w:spacing w:after="60"/>
        <w:jc w:val="both"/>
        <w:rPr>
          <w:rFonts w:asciiTheme="majorHAnsi" w:hAnsiTheme="majorHAnsi"/>
          <w:sz w:val="22"/>
          <w:szCs w:val="22"/>
        </w:rPr>
      </w:pPr>
    </w:p>
    <w:p w14:paraId="641FB78C" w14:textId="77777777" w:rsidR="00ED5F1A" w:rsidRPr="00ED5F1A" w:rsidRDefault="00ED5F1A" w:rsidP="00ED5F1A">
      <w:pPr>
        <w:pStyle w:val="MdSpace"/>
        <w:spacing w:after="60"/>
        <w:jc w:val="both"/>
        <w:rPr>
          <w:rFonts w:asciiTheme="majorHAnsi" w:hAnsiTheme="majorHAnsi"/>
          <w:sz w:val="22"/>
          <w:szCs w:val="22"/>
        </w:rPr>
      </w:pPr>
    </w:p>
    <w:p w14:paraId="7E0747FC" w14:textId="77777777" w:rsidR="00626463" w:rsidRPr="00ED5F1A" w:rsidRDefault="00000000" w:rsidP="00ED5F1A">
      <w:pPr>
        <w:pStyle w:val="MdHeading2"/>
        <w:jc w:val="both"/>
        <w:rPr>
          <w:rFonts w:asciiTheme="majorHAnsi" w:hAnsiTheme="majorHAnsi"/>
          <w:sz w:val="22"/>
          <w:szCs w:val="22"/>
        </w:rPr>
      </w:pPr>
      <w:r w:rsidRPr="00ED5F1A">
        <w:rPr>
          <w:rFonts w:asciiTheme="majorHAnsi" w:hAnsiTheme="majorHAnsi"/>
          <w:sz w:val="22"/>
          <w:szCs w:val="22"/>
        </w:rPr>
        <w:lastRenderedPageBreak/>
        <w:t>Anexo I: Mapa de Riscos Societários Críticos</w:t>
      </w:r>
    </w:p>
    <w:p w14:paraId="78618036" w14:textId="77777777" w:rsidR="00626463" w:rsidRPr="00ED5F1A" w:rsidRDefault="00000000" w:rsidP="00ED5F1A">
      <w:pPr>
        <w:pStyle w:val="MdParagraph"/>
        <w:jc w:val="both"/>
        <w:rPr>
          <w:rFonts w:asciiTheme="majorHAnsi" w:hAnsiTheme="majorHAnsi"/>
          <w:sz w:val="22"/>
          <w:szCs w:val="22"/>
        </w:rPr>
      </w:pPr>
      <w:r w:rsidRPr="00ED5F1A">
        <w:rPr>
          <w:rFonts w:asciiTheme="majorHAnsi" w:hAnsiTheme="majorHAnsi"/>
          <w:sz w:val="22"/>
          <w:szCs w:val="22"/>
        </w:rPr>
        <w:t>A tabela a seguir classifica os principais riscos societários em um negócio regulado com sócios igualitários, seu impacto potencial e as cláusulas contratuais recomendadas para mitigá-los.</w:t>
      </w:r>
    </w:p>
    <w:p w14:paraId="4F808696" w14:textId="77777777" w:rsidR="00626463" w:rsidRPr="00ED5F1A" w:rsidRDefault="00626463" w:rsidP="00ED5F1A">
      <w:pPr>
        <w:pStyle w:val="MdSpace"/>
        <w:spacing w:after="60"/>
        <w:jc w:val="both"/>
        <w:rPr>
          <w:rFonts w:asciiTheme="majorHAnsi" w:hAnsiTheme="majorHAnsi"/>
          <w:sz w:val="22"/>
          <w:szCs w:val="22"/>
        </w:rPr>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764"/>
        <w:gridCol w:w="1580"/>
        <w:gridCol w:w="1762"/>
        <w:gridCol w:w="1849"/>
        <w:gridCol w:w="1616"/>
        <w:gridCol w:w="2201"/>
      </w:tblGrid>
      <w:tr w:rsidR="00626463" w:rsidRPr="00ED5F1A" w14:paraId="27A223AD"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10B802C9" w14:textId="77777777" w:rsidR="00626463" w:rsidRPr="00ED5F1A" w:rsidRDefault="00000000" w:rsidP="00ED5F1A">
            <w:pPr>
              <w:pStyle w:val="MdTableHeader"/>
              <w:jc w:val="both"/>
              <w:rPr>
                <w:rFonts w:asciiTheme="majorHAnsi" w:hAnsiTheme="majorHAnsi"/>
                <w:sz w:val="18"/>
                <w:szCs w:val="18"/>
              </w:rPr>
            </w:pPr>
            <w:r w:rsidRPr="00ED5F1A">
              <w:rPr>
                <w:rFonts w:asciiTheme="majorHAnsi" w:hAnsiTheme="majorHAnsi"/>
                <w:sz w:val="18"/>
                <w:szCs w:val="18"/>
              </w:rPr>
              <w:t>Risco Crítico</w:t>
            </w:r>
          </w:p>
        </w:tc>
        <w:tc>
          <w:tcPr>
            <w:tcW w:w="0" w:type="auto"/>
            <w:tcMar>
              <w:top w:w="100" w:type="dxa"/>
              <w:left w:w="120" w:type="dxa"/>
              <w:bottom w:w="100" w:type="dxa"/>
              <w:right w:w="120" w:type="dxa"/>
            </w:tcMar>
            <w:vAlign w:val="center"/>
          </w:tcPr>
          <w:p w14:paraId="7E4F87C5" w14:textId="77777777" w:rsidR="00626463" w:rsidRPr="00ED5F1A" w:rsidRDefault="00000000" w:rsidP="00ED5F1A">
            <w:pPr>
              <w:pStyle w:val="MdTableHeader"/>
              <w:jc w:val="both"/>
              <w:rPr>
                <w:rFonts w:asciiTheme="majorHAnsi" w:hAnsiTheme="majorHAnsi"/>
                <w:sz w:val="18"/>
                <w:szCs w:val="18"/>
              </w:rPr>
            </w:pPr>
            <w:r w:rsidRPr="00ED5F1A">
              <w:rPr>
                <w:rFonts w:asciiTheme="majorHAnsi" w:hAnsiTheme="majorHAnsi"/>
                <w:sz w:val="18"/>
                <w:szCs w:val="18"/>
              </w:rPr>
              <w:t>Descrição</w:t>
            </w:r>
          </w:p>
        </w:tc>
        <w:tc>
          <w:tcPr>
            <w:tcW w:w="0" w:type="auto"/>
            <w:tcMar>
              <w:top w:w="100" w:type="dxa"/>
              <w:left w:w="120" w:type="dxa"/>
              <w:bottom w:w="100" w:type="dxa"/>
              <w:right w:w="120" w:type="dxa"/>
            </w:tcMar>
            <w:vAlign w:val="center"/>
          </w:tcPr>
          <w:p w14:paraId="4C189DF5" w14:textId="77777777" w:rsidR="00626463" w:rsidRPr="00ED5F1A" w:rsidRDefault="00000000" w:rsidP="00ED5F1A">
            <w:pPr>
              <w:pStyle w:val="MdTableHeader"/>
              <w:jc w:val="both"/>
              <w:rPr>
                <w:rFonts w:asciiTheme="majorHAnsi" w:hAnsiTheme="majorHAnsi"/>
                <w:sz w:val="18"/>
                <w:szCs w:val="18"/>
              </w:rPr>
            </w:pPr>
            <w:r w:rsidRPr="00ED5F1A">
              <w:rPr>
                <w:rFonts w:asciiTheme="majorHAnsi" w:hAnsiTheme="majorHAnsi"/>
                <w:sz w:val="18"/>
                <w:szCs w:val="18"/>
              </w:rPr>
              <w:t>Impacto Financeiro</w:t>
            </w:r>
          </w:p>
        </w:tc>
        <w:tc>
          <w:tcPr>
            <w:tcW w:w="0" w:type="auto"/>
            <w:tcMar>
              <w:top w:w="100" w:type="dxa"/>
              <w:left w:w="120" w:type="dxa"/>
              <w:bottom w:w="100" w:type="dxa"/>
              <w:right w:w="120" w:type="dxa"/>
            </w:tcMar>
            <w:vAlign w:val="center"/>
          </w:tcPr>
          <w:p w14:paraId="6770908D" w14:textId="77777777" w:rsidR="00626463" w:rsidRPr="00ED5F1A" w:rsidRDefault="00000000" w:rsidP="00ED5F1A">
            <w:pPr>
              <w:pStyle w:val="MdTableHeader"/>
              <w:jc w:val="both"/>
              <w:rPr>
                <w:rFonts w:asciiTheme="majorHAnsi" w:hAnsiTheme="majorHAnsi"/>
                <w:sz w:val="18"/>
                <w:szCs w:val="18"/>
              </w:rPr>
            </w:pPr>
            <w:r w:rsidRPr="00ED5F1A">
              <w:rPr>
                <w:rFonts w:asciiTheme="majorHAnsi" w:hAnsiTheme="majorHAnsi"/>
                <w:sz w:val="18"/>
                <w:szCs w:val="18"/>
              </w:rPr>
              <w:t>Impacto Regulatório</w:t>
            </w:r>
          </w:p>
        </w:tc>
        <w:tc>
          <w:tcPr>
            <w:tcW w:w="0" w:type="auto"/>
            <w:tcMar>
              <w:top w:w="100" w:type="dxa"/>
              <w:left w:w="120" w:type="dxa"/>
              <w:bottom w:w="100" w:type="dxa"/>
              <w:right w:w="120" w:type="dxa"/>
            </w:tcMar>
            <w:vAlign w:val="center"/>
          </w:tcPr>
          <w:p w14:paraId="6466552D" w14:textId="77777777" w:rsidR="00626463" w:rsidRPr="00ED5F1A" w:rsidRDefault="00000000" w:rsidP="00ED5F1A">
            <w:pPr>
              <w:pStyle w:val="MdTableHeader"/>
              <w:jc w:val="both"/>
              <w:rPr>
                <w:rFonts w:asciiTheme="majorHAnsi" w:hAnsiTheme="majorHAnsi"/>
                <w:sz w:val="18"/>
                <w:szCs w:val="18"/>
              </w:rPr>
            </w:pPr>
            <w:r w:rsidRPr="00ED5F1A">
              <w:rPr>
                <w:rFonts w:asciiTheme="majorHAnsi" w:hAnsiTheme="majorHAnsi"/>
                <w:sz w:val="18"/>
                <w:szCs w:val="18"/>
              </w:rPr>
              <w:t>Impacto Reputacional</w:t>
            </w:r>
          </w:p>
        </w:tc>
        <w:tc>
          <w:tcPr>
            <w:tcW w:w="0" w:type="auto"/>
            <w:tcMar>
              <w:top w:w="100" w:type="dxa"/>
              <w:left w:w="120" w:type="dxa"/>
              <w:bottom w:w="100" w:type="dxa"/>
              <w:right w:w="120" w:type="dxa"/>
            </w:tcMar>
            <w:vAlign w:val="center"/>
          </w:tcPr>
          <w:p w14:paraId="44DE8506" w14:textId="77777777" w:rsidR="00626463" w:rsidRPr="00ED5F1A" w:rsidRDefault="00000000" w:rsidP="00ED5F1A">
            <w:pPr>
              <w:pStyle w:val="MdTableHeader"/>
              <w:jc w:val="both"/>
              <w:rPr>
                <w:rFonts w:asciiTheme="majorHAnsi" w:hAnsiTheme="majorHAnsi"/>
                <w:sz w:val="18"/>
                <w:szCs w:val="18"/>
              </w:rPr>
            </w:pPr>
            <w:r w:rsidRPr="00ED5F1A">
              <w:rPr>
                <w:rFonts w:asciiTheme="majorHAnsi" w:hAnsiTheme="majorHAnsi"/>
                <w:sz w:val="18"/>
                <w:szCs w:val="18"/>
              </w:rPr>
              <w:t>Mitigação Contratual Sugerida</w:t>
            </w:r>
          </w:p>
        </w:tc>
      </w:tr>
      <w:tr w:rsidR="00626463" w:rsidRPr="00ED5F1A" w14:paraId="6F3B4FA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23F7E4A" w14:textId="77777777" w:rsidR="00626463" w:rsidRPr="00ED5F1A" w:rsidRDefault="00000000" w:rsidP="00ED5F1A">
            <w:pPr>
              <w:pStyle w:val="MdTableCell"/>
              <w:jc w:val="both"/>
              <w:rPr>
                <w:rFonts w:asciiTheme="majorHAnsi" w:hAnsiTheme="majorHAnsi"/>
                <w:sz w:val="18"/>
                <w:szCs w:val="18"/>
              </w:rPr>
            </w:pPr>
            <w:r w:rsidRPr="00ED5F1A">
              <w:rPr>
                <w:rStyle w:val="MdStrong"/>
                <w:rFonts w:asciiTheme="majorHAnsi" w:hAnsiTheme="majorHAnsi"/>
                <w:sz w:val="18"/>
                <w:szCs w:val="18"/>
              </w:rPr>
              <w:t>Inadimplência de Aporte</w:t>
            </w:r>
          </w:p>
        </w:tc>
        <w:tc>
          <w:tcPr>
            <w:tcW w:w="0" w:type="auto"/>
            <w:tcMar>
              <w:top w:w="80" w:type="dxa"/>
              <w:left w:w="120" w:type="dxa"/>
              <w:bottom w:w="80" w:type="dxa"/>
              <w:right w:w="120" w:type="dxa"/>
            </w:tcMar>
            <w:vAlign w:val="center"/>
          </w:tcPr>
          <w:p w14:paraId="28DC9994" w14:textId="77777777" w:rsidR="00626463" w:rsidRPr="00ED5F1A" w:rsidRDefault="00000000" w:rsidP="00ED5F1A">
            <w:pPr>
              <w:pStyle w:val="MdTableCell"/>
              <w:jc w:val="both"/>
              <w:rPr>
                <w:rFonts w:asciiTheme="majorHAnsi" w:hAnsiTheme="majorHAnsi"/>
                <w:sz w:val="18"/>
                <w:szCs w:val="18"/>
              </w:rPr>
            </w:pPr>
            <w:r w:rsidRPr="00ED5F1A">
              <w:rPr>
                <w:rFonts w:asciiTheme="majorHAnsi" w:hAnsiTheme="majorHAnsi"/>
                <w:sz w:val="18"/>
                <w:szCs w:val="18"/>
              </w:rPr>
              <w:t>Sócio deixa de aportar recursos em uma chamada de capital.</w:t>
            </w:r>
          </w:p>
        </w:tc>
        <w:tc>
          <w:tcPr>
            <w:tcW w:w="0" w:type="auto"/>
            <w:tcMar>
              <w:top w:w="80" w:type="dxa"/>
              <w:left w:w="120" w:type="dxa"/>
              <w:bottom w:w="80" w:type="dxa"/>
              <w:right w:w="120" w:type="dxa"/>
            </w:tcMar>
            <w:vAlign w:val="center"/>
          </w:tcPr>
          <w:p w14:paraId="0CB464FD" w14:textId="77777777" w:rsidR="00ED5F1A" w:rsidRPr="00ED5F1A" w:rsidRDefault="00000000" w:rsidP="00ED5F1A">
            <w:pPr>
              <w:pStyle w:val="MdTableCell"/>
              <w:jc w:val="both"/>
              <w:rPr>
                <w:rStyle w:val="MdStrong"/>
                <w:rFonts w:asciiTheme="majorHAnsi" w:hAnsiTheme="majorHAnsi"/>
                <w:sz w:val="18"/>
                <w:szCs w:val="18"/>
              </w:rPr>
            </w:pPr>
            <w:r w:rsidRPr="00ED5F1A">
              <w:rPr>
                <w:rStyle w:val="MdStrong"/>
                <w:rFonts w:asciiTheme="majorHAnsi" w:hAnsiTheme="majorHAnsi"/>
                <w:sz w:val="18"/>
                <w:szCs w:val="18"/>
              </w:rPr>
              <w:t>Alto</w:t>
            </w:r>
          </w:p>
          <w:p w14:paraId="31FC7B30" w14:textId="3143AF9A" w:rsidR="00626463" w:rsidRPr="00ED5F1A" w:rsidRDefault="00000000" w:rsidP="00ED5F1A">
            <w:pPr>
              <w:pStyle w:val="MdTableCell"/>
              <w:jc w:val="both"/>
              <w:rPr>
                <w:rFonts w:asciiTheme="majorHAnsi" w:hAnsiTheme="majorHAnsi"/>
                <w:sz w:val="18"/>
                <w:szCs w:val="18"/>
              </w:rPr>
            </w:pPr>
            <w:r w:rsidRPr="00ED5F1A">
              <w:rPr>
                <w:rFonts w:asciiTheme="majorHAnsi" w:hAnsiTheme="majorHAnsi"/>
                <w:sz w:val="18"/>
                <w:szCs w:val="18"/>
              </w:rPr>
              <w:t>Compromete o capital mínimo, a solvência e os planos de investimento.</w:t>
            </w:r>
          </w:p>
        </w:tc>
        <w:tc>
          <w:tcPr>
            <w:tcW w:w="0" w:type="auto"/>
            <w:tcMar>
              <w:top w:w="80" w:type="dxa"/>
              <w:left w:w="120" w:type="dxa"/>
              <w:bottom w:w="80" w:type="dxa"/>
              <w:right w:w="120" w:type="dxa"/>
            </w:tcMar>
            <w:vAlign w:val="center"/>
          </w:tcPr>
          <w:p w14:paraId="47717292" w14:textId="77777777" w:rsidR="00ED5F1A" w:rsidRPr="00ED5F1A" w:rsidRDefault="00000000" w:rsidP="00ED5F1A">
            <w:pPr>
              <w:pStyle w:val="MdTableCell"/>
              <w:jc w:val="both"/>
              <w:rPr>
                <w:rStyle w:val="MdStrong"/>
                <w:rFonts w:asciiTheme="majorHAnsi" w:hAnsiTheme="majorHAnsi"/>
                <w:sz w:val="18"/>
                <w:szCs w:val="18"/>
              </w:rPr>
            </w:pPr>
            <w:r w:rsidRPr="00ED5F1A">
              <w:rPr>
                <w:rStyle w:val="MdStrong"/>
                <w:rFonts w:asciiTheme="majorHAnsi" w:hAnsiTheme="majorHAnsi"/>
                <w:sz w:val="18"/>
                <w:szCs w:val="18"/>
              </w:rPr>
              <w:t>Crítico</w:t>
            </w:r>
          </w:p>
          <w:p w14:paraId="3E0EB1A9" w14:textId="5475D4CC" w:rsidR="00626463" w:rsidRPr="00ED5F1A" w:rsidRDefault="00000000" w:rsidP="00ED5F1A">
            <w:pPr>
              <w:pStyle w:val="MdTableCell"/>
              <w:jc w:val="both"/>
              <w:rPr>
                <w:rFonts w:asciiTheme="majorHAnsi" w:hAnsiTheme="majorHAnsi"/>
                <w:sz w:val="18"/>
                <w:szCs w:val="18"/>
              </w:rPr>
            </w:pPr>
            <w:r w:rsidRPr="00ED5F1A">
              <w:rPr>
                <w:rFonts w:asciiTheme="majorHAnsi" w:hAnsiTheme="majorHAnsi"/>
                <w:sz w:val="18"/>
                <w:szCs w:val="18"/>
              </w:rPr>
              <w:t>Pode levar a desenquadramento regulatório e intervenção da SUSEP.</w:t>
            </w:r>
          </w:p>
        </w:tc>
        <w:tc>
          <w:tcPr>
            <w:tcW w:w="0" w:type="auto"/>
            <w:tcMar>
              <w:top w:w="80" w:type="dxa"/>
              <w:left w:w="120" w:type="dxa"/>
              <w:bottom w:w="80" w:type="dxa"/>
              <w:right w:w="120" w:type="dxa"/>
            </w:tcMar>
            <w:vAlign w:val="center"/>
          </w:tcPr>
          <w:p w14:paraId="71F1AC61" w14:textId="77777777" w:rsidR="00ED5F1A" w:rsidRPr="00ED5F1A" w:rsidRDefault="00000000" w:rsidP="00ED5F1A">
            <w:pPr>
              <w:pStyle w:val="MdTableCell"/>
              <w:jc w:val="both"/>
              <w:rPr>
                <w:rStyle w:val="MdStrong"/>
                <w:rFonts w:asciiTheme="majorHAnsi" w:hAnsiTheme="majorHAnsi"/>
                <w:sz w:val="18"/>
                <w:szCs w:val="18"/>
              </w:rPr>
            </w:pPr>
            <w:r w:rsidRPr="00ED5F1A">
              <w:rPr>
                <w:rStyle w:val="MdStrong"/>
                <w:rFonts w:asciiTheme="majorHAnsi" w:hAnsiTheme="majorHAnsi"/>
                <w:sz w:val="18"/>
                <w:szCs w:val="18"/>
              </w:rPr>
              <w:t>Alto</w:t>
            </w:r>
          </w:p>
          <w:p w14:paraId="54C27656" w14:textId="7FBC32B1" w:rsidR="00626463" w:rsidRPr="00ED5F1A" w:rsidRDefault="00000000" w:rsidP="00ED5F1A">
            <w:pPr>
              <w:pStyle w:val="MdTableCell"/>
              <w:jc w:val="both"/>
              <w:rPr>
                <w:rFonts w:asciiTheme="majorHAnsi" w:hAnsiTheme="majorHAnsi"/>
                <w:sz w:val="18"/>
                <w:szCs w:val="18"/>
              </w:rPr>
            </w:pPr>
            <w:r w:rsidRPr="00ED5F1A">
              <w:rPr>
                <w:rFonts w:asciiTheme="majorHAnsi" w:hAnsiTheme="majorHAnsi"/>
                <w:sz w:val="18"/>
                <w:szCs w:val="18"/>
              </w:rPr>
              <w:t>Sinaliza instabilidade e fragilidade financeira ao mercado.</w:t>
            </w:r>
          </w:p>
        </w:tc>
        <w:tc>
          <w:tcPr>
            <w:tcW w:w="0" w:type="auto"/>
            <w:tcMar>
              <w:top w:w="80" w:type="dxa"/>
              <w:left w:w="120" w:type="dxa"/>
              <w:bottom w:w="80" w:type="dxa"/>
              <w:right w:w="120" w:type="dxa"/>
            </w:tcMar>
            <w:vAlign w:val="center"/>
          </w:tcPr>
          <w:p w14:paraId="4342A832" w14:textId="77777777" w:rsidR="00626463" w:rsidRPr="00ED5F1A" w:rsidRDefault="00000000" w:rsidP="00ED5F1A">
            <w:pPr>
              <w:pStyle w:val="MdTableCell"/>
              <w:jc w:val="both"/>
              <w:rPr>
                <w:rFonts w:asciiTheme="majorHAnsi" w:hAnsiTheme="majorHAnsi"/>
                <w:sz w:val="18"/>
                <w:szCs w:val="18"/>
              </w:rPr>
            </w:pPr>
            <w:r w:rsidRPr="00ED5F1A">
              <w:rPr>
                <w:rFonts w:asciiTheme="majorHAnsi" w:hAnsiTheme="majorHAnsi"/>
                <w:sz w:val="18"/>
                <w:szCs w:val="18"/>
              </w:rPr>
              <w:t>Cláusulas de diluição punitiva, opção de compra forçada, suspensão de direitos políticos/econômicos.</w:t>
            </w:r>
          </w:p>
        </w:tc>
      </w:tr>
      <w:tr w:rsidR="00626463" w:rsidRPr="00ED5F1A" w14:paraId="0A961B4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16C343A" w14:textId="77777777" w:rsidR="00626463" w:rsidRPr="00ED5F1A" w:rsidRDefault="00000000" w:rsidP="00ED5F1A">
            <w:pPr>
              <w:pStyle w:val="MdTableCell"/>
              <w:jc w:val="both"/>
              <w:rPr>
                <w:rFonts w:asciiTheme="majorHAnsi" w:hAnsiTheme="majorHAnsi"/>
                <w:sz w:val="18"/>
                <w:szCs w:val="18"/>
              </w:rPr>
            </w:pPr>
            <w:r w:rsidRPr="00ED5F1A">
              <w:rPr>
                <w:rStyle w:val="MdStrong"/>
                <w:rFonts w:asciiTheme="majorHAnsi" w:hAnsiTheme="majorHAnsi"/>
                <w:sz w:val="18"/>
                <w:szCs w:val="18"/>
              </w:rPr>
              <w:t>Quebra de Idoneidade</w:t>
            </w:r>
          </w:p>
        </w:tc>
        <w:tc>
          <w:tcPr>
            <w:tcW w:w="0" w:type="auto"/>
            <w:tcMar>
              <w:top w:w="80" w:type="dxa"/>
              <w:left w:w="120" w:type="dxa"/>
              <w:bottom w:w="80" w:type="dxa"/>
              <w:right w:w="120" w:type="dxa"/>
            </w:tcMar>
            <w:vAlign w:val="center"/>
          </w:tcPr>
          <w:p w14:paraId="3F1C7E7F" w14:textId="77777777" w:rsidR="00626463" w:rsidRPr="00ED5F1A" w:rsidRDefault="00000000" w:rsidP="00ED5F1A">
            <w:pPr>
              <w:pStyle w:val="MdTableCell"/>
              <w:jc w:val="both"/>
              <w:rPr>
                <w:rFonts w:asciiTheme="majorHAnsi" w:hAnsiTheme="majorHAnsi"/>
                <w:sz w:val="18"/>
                <w:szCs w:val="18"/>
              </w:rPr>
            </w:pPr>
            <w:r w:rsidRPr="00ED5F1A">
              <w:rPr>
                <w:rFonts w:asciiTheme="majorHAnsi" w:hAnsiTheme="majorHAnsi"/>
                <w:sz w:val="18"/>
                <w:szCs w:val="18"/>
              </w:rPr>
              <w:t>Sócio ou administrador se envolve em atividades que o tornam "não idôneo" perante a SUSEP.</w:t>
            </w:r>
          </w:p>
        </w:tc>
        <w:tc>
          <w:tcPr>
            <w:tcW w:w="0" w:type="auto"/>
            <w:tcMar>
              <w:top w:w="80" w:type="dxa"/>
              <w:left w:w="120" w:type="dxa"/>
              <w:bottom w:w="80" w:type="dxa"/>
              <w:right w:w="120" w:type="dxa"/>
            </w:tcMar>
            <w:vAlign w:val="center"/>
          </w:tcPr>
          <w:p w14:paraId="4006A3B8" w14:textId="77777777" w:rsidR="00ED5F1A" w:rsidRPr="00ED5F1A" w:rsidRDefault="00000000" w:rsidP="00ED5F1A">
            <w:pPr>
              <w:pStyle w:val="MdTableCell"/>
              <w:jc w:val="both"/>
              <w:rPr>
                <w:rStyle w:val="MdStrong"/>
                <w:rFonts w:asciiTheme="majorHAnsi" w:hAnsiTheme="majorHAnsi"/>
                <w:sz w:val="18"/>
                <w:szCs w:val="18"/>
              </w:rPr>
            </w:pPr>
            <w:r w:rsidRPr="00ED5F1A">
              <w:rPr>
                <w:rStyle w:val="MdStrong"/>
                <w:rFonts w:asciiTheme="majorHAnsi" w:hAnsiTheme="majorHAnsi"/>
                <w:sz w:val="18"/>
                <w:szCs w:val="18"/>
              </w:rPr>
              <w:t>Médio/Alto</w:t>
            </w:r>
          </w:p>
          <w:p w14:paraId="432D976B" w14:textId="05BD08C8" w:rsidR="00626463" w:rsidRPr="00ED5F1A" w:rsidRDefault="00000000" w:rsidP="00ED5F1A">
            <w:pPr>
              <w:pStyle w:val="MdTableCell"/>
              <w:jc w:val="both"/>
              <w:rPr>
                <w:rFonts w:asciiTheme="majorHAnsi" w:hAnsiTheme="majorHAnsi"/>
                <w:sz w:val="18"/>
                <w:szCs w:val="18"/>
              </w:rPr>
            </w:pPr>
            <w:r w:rsidRPr="00ED5F1A">
              <w:rPr>
                <w:rFonts w:asciiTheme="majorHAnsi" w:hAnsiTheme="majorHAnsi"/>
                <w:sz w:val="18"/>
                <w:szCs w:val="18"/>
              </w:rPr>
              <w:t>Custos com afastamento, substituição e possíveis multas.</w:t>
            </w:r>
          </w:p>
        </w:tc>
        <w:tc>
          <w:tcPr>
            <w:tcW w:w="0" w:type="auto"/>
            <w:tcMar>
              <w:top w:w="80" w:type="dxa"/>
              <w:left w:w="120" w:type="dxa"/>
              <w:bottom w:w="80" w:type="dxa"/>
              <w:right w:w="120" w:type="dxa"/>
            </w:tcMar>
            <w:vAlign w:val="center"/>
          </w:tcPr>
          <w:p w14:paraId="53593FB1" w14:textId="77777777" w:rsidR="00ED5F1A" w:rsidRPr="00ED5F1A" w:rsidRDefault="00000000" w:rsidP="00ED5F1A">
            <w:pPr>
              <w:pStyle w:val="MdTableCell"/>
              <w:jc w:val="both"/>
              <w:rPr>
                <w:rStyle w:val="MdStrong"/>
                <w:rFonts w:asciiTheme="majorHAnsi" w:hAnsiTheme="majorHAnsi"/>
                <w:sz w:val="18"/>
                <w:szCs w:val="18"/>
              </w:rPr>
            </w:pPr>
            <w:r w:rsidRPr="00ED5F1A">
              <w:rPr>
                <w:rStyle w:val="MdStrong"/>
                <w:rFonts w:asciiTheme="majorHAnsi" w:hAnsiTheme="majorHAnsi"/>
                <w:sz w:val="18"/>
                <w:szCs w:val="18"/>
              </w:rPr>
              <w:t>Crítico</w:t>
            </w:r>
          </w:p>
          <w:p w14:paraId="4716B013" w14:textId="1C6E6D06" w:rsidR="00626463" w:rsidRPr="00ED5F1A" w:rsidRDefault="00000000" w:rsidP="00ED5F1A">
            <w:pPr>
              <w:pStyle w:val="MdTableCell"/>
              <w:jc w:val="both"/>
              <w:rPr>
                <w:rFonts w:asciiTheme="majorHAnsi" w:hAnsiTheme="majorHAnsi"/>
                <w:sz w:val="18"/>
                <w:szCs w:val="18"/>
              </w:rPr>
            </w:pPr>
            <w:r w:rsidRPr="00ED5F1A">
              <w:rPr>
                <w:rFonts w:asciiTheme="majorHAnsi" w:hAnsiTheme="majorHAnsi"/>
                <w:sz w:val="18"/>
                <w:szCs w:val="18"/>
              </w:rPr>
              <w:t>Risco de perda da autorização de funcionamento da companhia.</w:t>
            </w:r>
          </w:p>
        </w:tc>
        <w:tc>
          <w:tcPr>
            <w:tcW w:w="0" w:type="auto"/>
            <w:tcMar>
              <w:top w:w="80" w:type="dxa"/>
              <w:left w:w="120" w:type="dxa"/>
              <w:bottom w:w="80" w:type="dxa"/>
              <w:right w:w="120" w:type="dxa"/>
            </w:tcMar>
            <w:vAlign w:val="center"/>
          </w:tcPr>
          <w:p w14:paraId="22141588" w14:textId="77777777" w:rsidR="00ED5F1A" w:rsidRPr="00ED5F1A" w:rsidRDefault="00000000" w:rsidP="00ED5F1A">
            <w:pPr>
              <w:pStyle w:val="MdTableCell"/>
              <w:jc w:val="both"/>
              <w:rPr>
                <w:rStyle w:val="MdStrong"/>
                <w:rFonts w:asciiTheme="majorHAnsi" w:hAnsiTheme="majorHAnsi"/>
                <w:sz w:val="18"/>
                <w:szCs w:val="18"/>
              </w:rPr>
            </w:pPr>
            <w:r w:rsidRPr="00ED5F1A">
              <w:rPr>
                <w:rStyle w:val="MdStrong"/>
                <w:rFonts w:asciiTheme="majorHAnsi" w:hAnsiTheme="majorHAnsi"/>
                <w:sz w:val="18"/>
                <w:szCs w:val="18"/>
              </w:rPr>
              <w:t>Crítico</w:t>
            </w:r>
          </w:p>
          <w:p w14:paraId="4C6D9853" w14:textId="53D4B441" w:rsidR="00626463" w:rsidRPr="00ED5F1A" w:rsidRDefault="00000000" w:rsidP="00ED5F1A">
            <w:pPr>
              <w:pStyle w:val="MdTableCell"/>
              <w:jc w:val="both"/>
              <w:rPr>
                <w:rFonts w:asciiTheme="majorHAnsi" w:hAnsiTheme="majorHAnsi"/>
                <w:sz w:val="18"/>
                <w:szCs w:val="18"/>
              </w:rPr>
            </w:pPr>
            <w:r w:rsidRPr="00ED5F1A">
              <w:rPr>
                <w:rFonts w:asciiTheme="majorHAnsi" w:hAnsiTheme="majorHAnsi"/>
                <w:sz w:val="18"/>
                <w:szCs w:val="18"/>
              </w:rPr>
              <w:t>Dano irreparável à imagem da empresa e à confiança do mercado.</w:t>
            </w:r>
          </w:p>
        </w:tc>
        <w:tc>
          <w:tcPr>
            <w:tcW w:w="0" w:type="auto"/>
            <w:tcMar>
              <w:top w:w="80" w:type="dxa"/>
              <w:left w:w="120" w:type="dxa"/>
              <w:bottom w:w="80" w:type="dxa"/>
              <w:right w:w="120" w:type="dxa"/>
            </w:tcMar>
            <w:vAlign w:val="center"/>
          </w:tcPr>
          <w:p w14:paraId="237996AC" w14:textId="77777777" w:rsidR="00626463" w:rsidRPr="00ED5F1A" w:rsidRDefault="00000000" w:rsidP="00ED5F1A">
            <w:pPr>
              <w:pStyle w:val="MdTableCell"/>
              <w:jc w:val="both"/>
              <w:rPr>
                <w:rFonts w:asciiTheme="majorHAnsi" w:hAnsiTheme="majorHAnsi"/>
                <w:sz w:val="18"/>
                <w:szCs w:val="18"/>
              </w:rPr>
            </w:pPr>
            <w:r w:rsidRPr="00ED5F1A">
              <w:rPr>
                <w:rFonts w:asciiTheme="majorHAnsi" w:hAnsiTheme="majorHAnsi"/>
                <w:sz w:val="18"/>
                <w:szCs w:val="18"/>
              </w:rPr>
              <w:t>Cláusula de exclusão sumária por justa causa, obrigação de renúncia imediata, recompra forçada da participação.</w:t>
            </w:r>
          </w:p>
        </w:tc>
      </w:tr>
      <w:tr w:rsidR="00626463" w:rsidRPr="00ED5F1A" w14:paraId="7A99955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BA04D21" w14:textId="77777777" w:rsidR="00626463" w:rsidRPr="00ED5F1A" w:rsidRDefault="00000000" w:rsidP="00ED5F1A">
            <w:pPr>
              <w:pStyle w:val="MdTableCell"/>
              <w:jc w:val="both"/>
              <w:rPr>
                <w:rFonts w:asciiTheme="majorHAnsi" w:hAnsiTheme="majorHAnsi"/>
                <w:sz w:val="18"/>
                <w:szCs w:val="18"/>
              </w:rPr>
            </w:pPr>
            <w:r w:rsidRPr="00ED5F1A">
              <w:rPr>
                <w:rStyle w:val="MdStrong"/>
                <w:rFonts w:asciiTheme="majorHAnsi" w:hAnsiTheme="majorHAnsi"/>
                <w:sz w:val="18"/>
                <w:szCs w:val="18"/>
              </w:rPr>
              <w:t>Travamento Decisório (Deadlock)</w:t>
            </w:r>
          </w:p>
        </w:tc>
        <w:tc>
          <w:tcPr>
            <w:tcW w:w="0" w:type="auto"/>
            <w:tcMar>
              <w:top w:w="80" w:type="dxa"/>
              <w:left w:w="120" w:type="dxa"/>
              <w:bottom w:w="80" w:type="dxa"/>
              <w:right w:w="120" w:type="dxa"/>
            </w:tcMar>
            <w:vAlign w:val="center"/>
          </w:tcPr>
          <w:p w14:paraId="0FBBAD87" w14:textId="77777777" w:rsidR="00626463" w:rsidRPr="00ED5F1A" w:rsidRDefault="00000000" w:rsidP="00ED5F1A">
            <w:pPr>
              <w:pStyle w:val="MdTableCell"/>
              <w:jc w:val="both"/>
              <w:rPr>
                <w:rFonts w:asciiTheme="majorHAnsi" w:hAnsiTheme="majorHAnsi"/>
                <w:sz w:val="18"/>
                <w:szCs w:val="18"/>
              </w:rPr>
            </w:pPr>
            <w:r w:rsidRPr="00ED5F1A">
              <w:rPr>
                <w:rFonts w:asciiTheme="majorHAnsi" w:hAnsiTheme="majorHAnsi"/>
                <w:sz w:val="18"/>
                <w:szCs w:val="18"/>
              </w:rPr>
              <w:t>Empate na votação de matérias estratégicas, paralisando a empresa.</w:t>
            </w:r>
          </w:p>
        </w:tc>
        <w:tc>
          <w:tcPr>
            <w:tcW w:w="0" w:type="auto"/>
            <w:tcMar>
              <w:top w:w="80" w:type="dxa"/>
              <w:left w:w="120" w:type="dxa"/>
              <w:bottom w:w="80" w:type="dxa"/>
              <w:right w:w="120" w:type="dxa"/>
            </w:tcMar>
            <w:vAlign w:val="center"/>
          </w:tcPr>
          <w:p w14:paraId="22DA5C88" w14:textId="77777777" w:rsidR="00ED5F1A" w:rsidRPr="00ED5F1A" w:rsidRDefault="00000000" w:rsidP="00ED5F1A">
            <w:pPr>
              <w:pStyle w:val="MdTableCell"/>
              <w:jc w:val="both"/>
              <w:rPr>
                <w:rStyle w:val="MdStrong"/>
                <w:rFonts w:asciiTheme="majorHAnsi" w:hAnsiTheme="majorHAnsi"/>
                <w:sz w:val="18"/>
                <w:szCs w:val="18"/>
              </w:rPr>
            </w:pPr>
            <w:r w:rsidRPr="00ED5F1A">
              <w:rPr>
                <w:rStyle w:val="MdStrong"/>
                <w:rFonts w:asciiTheme="majorHAnsi" w:hAnsiTheme="majorHAnsi"/>
                <w:sz w:val="18"/>
                <w:szCs w:val="18"/>
              </w:rPr>
              <w:t>Alto</w:t>
            </w:r>
          </w:p>
          <w:p w14:paraId="2DFCD2E9" w14:textId="4CA64CBA" w:rsidR="00626463" w:rsidRPr="00ED5F1A" w:rsidRDefault="00000000" w:rsidP="00ED5F1A">
            <w:pPr>
              <w:pStyle w:val="MdTableCell"/>
              <w:jc w:val="both"/>
              <w:rPr>
                <w:rFonts w:asciiTheme="majorHAnsi" w:hAnsiTheme="majorHAnsi"/>
                <w:sz w:val="18"/>
                <w:szCs w:val="18"/>
              </w:rPr>
            </w:pPr>
            <w:r w:rsidRPr="00ED5F1A">
              <w:rPr>
                <w:rFonts w:asciiTheme="majorHAnsi" w:hAnsiTheme="majorHAnsi"/>
                <w:sz w:val="18"/>
                <w:szCs w:val="18"/>
              </w:rPr>
              <w:t>Incapacidade de aprovar orçamentos, investimentos ou de reagir a mudanças de mercado.</w:t>
            </w:r>
          </w:p>
        </w:tc>
        <w:tc>
          <w:tcPr>
            <w:tcW w:w="0" w:type="auto"/>
            <w:tcMar>
              <w:top w:w="80" w:type="dxa"/>
              <w:left w:w="120" w:type="dxa"/>
              <w:bottom w:w="80" w:type="dxa"/>
              <w:right w:w="120" w:type="dxa"/>
            </w:tcMar>
            <w:vAlign w:val="center"/>
          </w:tcPr>
          <w:p w14:paraId="30CAFE2D" w14:textId="77777777" w:rsidR="00ED5F1A" w:rsidRPr="00ED5F1A" w:rsidRDefault="00000000" w:rsidP="00ED5F1A">
            <w:pPr>
              <w:pStyle w:val="MdTableCell"/>
              <w:jc w:val="both"/>
              <w:rPr>
                <w:rStyle w:val="MdStrong"/>
                <w:rFonts w:asciiTheme="majorHAnsi" w:hAnsiTheme="majorHAnsi"/>
                <w:sz w:val="18"/>
                <w:szCs w:val="18"/>
              </w:rPr>
            </w:pPr>
            <w:r w:rsidRPr="00ED5F1A">
              <w:rPr>
                <w:rStyle w:val="MdStrong"/>
                <w:rFonts w:asciiTheme="majorHAnsi" w:hAnsiTheme="majorHAnsi"/>
                <w:sz w:val="18"/>
                <w:szCs w:val="18"/>
              </w:rPr>
              <w:t>Médio</w:t>
            </w:r>
          </w:p>
          <w:p w14:paraId="5733F754" w14:textId="0C86F754" w:rsidR="00626463" w:rsidRPr="00ED5F1A" w:rsidRDefault="00000000" w:rsidP="00ED5F1A">
            <w:pPr>
              <w:pStyle w:val="MdTableCell"/>
              <w:jc w:val="both"/>
              <w:rPr>
                <w:rFonts w:asciiTheme="majorHAnsi" w:hAnsiTheme="majorHAnsi"/>
                <w:sz w:val="18"/>
                <w:szCs w:val="18"/>
              </w:rPr>
            </w:pPr>
            <w:r w:rsidRPr="00ED5F1A">
              <w:rPr>
                <w:rFonts w:asciiTheme="majorHAnsi" w:hAnsiTheme="majorHAnsi"/>
                <w:sz w:val="18"/>
                <w:szCs w:val="18"/>
              </w:rPr>
              <w:t>Pode ser visto como falha de governança pela SUSEP.</w:t>
            </w:r>
          </w:p>
        </w:tc>
        <w:tc>
          <w:tcPr>
            <w:tcW w:w="0" w:type="auto"/>
            <w:tcMar>
              <w:top w:w="80" w:type="dxa"/>
              <w:left w:w="120" w:type="dxa"/>
              <w:bottom w:w="80" w:type="dxa"/>
              <w:right w:w="120" w:type="dxa"/>
            </w:tcMar>
            <w:vAlign w:val="center"/>
          </w:tcPr>
          <w:p w14:paraId="234A96FF" w14:textId="77777777" w:rsidR="00ED5F1A" w:rsidRPr="00ED5F1A" w:rsidRDefault="00000000" w:rsidP="00ED5F1A">
            <w:pPr>
              <w:pStyle w:val="MdTableCell"/>
              <w:jc w:val="both"/>
              <w:rPr>
                <w:rStyle w:val="MdStrong"/>
                <w:rFonts w:asciiTheme="majorHAnsi" w:hAnsiTheme="majorHAnsi"/>
                <w:sz w:val="18"/>
                <w:szCs w:val="18"/>
              </w:rPr>
            </w:pPr>
            <w:r w:rsidRPr="00ED5F1A">
              <w:rPr>
                <w:rStyle w:val="MdStrong"/>
                <w:rFonts w:asciiTheme="majorHAnsi" w:hAnsiTheme="majorHAnsi"/>
                <w:sz w:val="18"/>
                <w:szCs w:val="18"/>
              </w:rPr>
              <w:t>Alto</w:t>
            </w:r>
          </w:p>
          <w:p w14:paraId="7FA444AD" w14:textId="474453AB" w:rsidR="00626463" w:rsidRPr="00ED5F1A" w:rsidRDefault="00000000" w:rsidP="00ED5F1A">
            <w:pPr>
              <w:pStyle w:val="MdTableCell"/>
              <w:jc w:val="both"/>
              <w:rPr>
                <w:rFonts w:asciiTheme="majorHAnsi" w:hAnsiTheme="majorHAnsi"/>
                <w:sz w:val="18"/>
                <w:szCs w:val="18"/>
              </w:rPr>
            </w:pPr>
            <w:r w:rsidRPr="00ED5F1A">
              <w:rPr>
                <w:rFonts w:asciiTheme="majorHAnsi" w:hAnsiTheme="majorHAnsi"/>
                <w:sz w:val="18"/>
                <w:szCs w:val="18"/>
              </w:rPr>
              <w:t>Demonstra falta de alinhamento e governabilidade.</w:t>
            </w:r>
          </w:p>
        </w:tc>
        <w:tc>
          <w:tcPr>
            <w:tcW w:w="0" w:type="auto"/>
            <w:tcMar>
              <w:top w:w="80" w:type="dxa"/>
              <w:left w:w="120" w:type="dxa"/>
              <w:bottom w:w="80" w:type="dxa"/>
              <w:right w:w="120" w:type="dxa"/>
            </w:tcMar>
            <w:vAlign w:val="center"/>
          </w:tcPr>
          <w:p w14:paraId="5BEBA804" w14:textId="77777777" w:rsidR="00626463" w:rsidRPr="00ED5F1A" w:rsidRDefault="00000000" w:rsidP="00ED5F1A">
            <w:pPr>
              <w:pStyle w:val="MdTableCell"/>
              <w:jc w:val="both"/>
              <w:rPr>
                <w:rFonts w:asciiTheme="majorHAnsi" w:hAnsiTheme="majorHAnsi"/>
                <w:sz w:val="18"/>
                <w:szCs w:val="18"/>
              </w:rPr>
            </w:pPr>
            <w:r w:rsidRPr="00ED5F1A">
              <w:rPr>
                <w:rFonts w:asciiTheme="majorHAnsi" w:hAnsiTheme="majorHAnsi"/>
                <w:sz w:val="18"/>
                <w:szCs w:val="18"/>
              </w:rPr>
              <w:t>Mecanismos de desempate (voto de minerva), mediação/arbitragem obrigatória, cláusula "</w:t>
            </w:r>
            <w:proofErr w:type="spellStart"/>
            <w:r w:rsidRPr="00ED5F1A">
              <w:rPr>
                <w:rFonts w:asciiTheme="majorHAnsi" w:hAnsiTheme="majorHAnsi"/>
                <w:sz w:val="18"/>
                <w:szCs w:val="18"/>
              </w:rPr>
              <w:t>shotgun</w:t>
            </w:r>
            <w:proofErr w:type="spellEnd"/>
            <w:r w:rsidRPr="00ED5F1A">
              <w:rPr>
                <w:rFonts w:asciiTheme="majorHAnsi" w:hAnsiTheme="majorHAnsi"/>
                <w:sz w:val="18"/>
                <w:szCs w:val="18"/>
              </w:rPr>
              <w:t>".</w:t>
            </w:r>
          </w:p>
        </w:tc>
      </w:tr>
      <w:tr w:rsidR="00626463" w:rsidRPr="00ED5F1A" w14:paraId="7E03582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10410E9" w14:textId="77777777" w:rsidR="00626463" w:rsidRPr="00ED5F1A" w:rsidRDefault="00000000" w:rsidP="00ED5F1A">
            <w:pPr>
              <w:pStyle w:val="MdTableCell"/>
              <w:jc w:val="both"/>
              <w:rPr>
                <w:rFonts w:asciiTheme="majorHAnsi" w:hAnsiTheme="majorHAnsi"/>
                <w:sz w:val="18"/>
                <w:szCs w:val="18"/>
              </w:rPr>
            </w:pPr>
            <w:r w:rsidRPr="00ED5F1A">
              <w:rPr>
                <w:rStyle w:val="MdStrong"/>
                <w:rFonts w:asciiTheme="majorHAnsi" w:hAnsiTheme="majorHAnsi"/>
                <w:sz w:val="18"/>
                <w:szCs w:val="18"/>
              </w:rPr>
              <w:t>Abuso de Poder/Veto</w:t>
            </w:r>
          </w:p>
        </w:tc>
        <w:tc>
          <w:tcPr>
            <w:tcW w:w="0" w:type="auto"/>
            <w:tcMar>
              <w:top w:w="80" w:type="dxa"/>
              <w:left w:w="120" w:type="dxa"/>
              <w:bottom w:w="80" w:type="dxa"/>
              <w:right w:w="120" w:type="dxa"/>
            </w:tcMar>
            <w:vAlign w:val="center"/>
          </w:tcPr>
          <w:p w14:paraId="4409ABB6" w14:textId="77777777" w:rsidR="00626463" w:rsidRPr="00ED5F1A" w:rsidRDefault="00000000" w:rsidP="00ED5F1A">
            <w:pPr>
              <w:pStyle w:val="MdTableCell"/>
              <w:jc w:val="both"/>
              <w:rPr>
                <w:rFonts w:asciiTheme="majorHAnsi" w:hAnsiTheme="majorHAnsi"/>
                <w:sz w:val="18"/>
                <w:szCs w:val="18"/>
              </w:rPr>
            </w:pPr>
            <w:r w:rsidRPr="00ED5F1A">
              <w:rPr>
                <w:rFonts w:asciiTheme="majorHAnsi" w:hAnsiTheme="majorHAnsi"/>
                <w:sz w:val="18"/>
                <w:szCs w:val="18"/>
              </w:rPr>
              <w:t>Sócio utiliza seu poder de veto em matérias não essenciais para bloquear a gestão ou extrair vantagens.</w:t>
            </w:r>
          </w:p>
        </w:tc>
        <w:tc>
          <w:tcPr>
            <w:tcW w:w="0" w:type="auto"/>
            <w:tcMar>
              <w:top w:w="80" w:type="dxa"/>
              <w:left w:w="120" w:type="dxa"/>
              <w:bottom w:w="80" w:type="dxa"/>
              <w:right w:w="120" w:type="dxa"/>
            </w:tcMar>
            <w:vAlign w:val="center"/>
          </w:tcPr>
          <w:p w14:paraId="76EACBB9" w14:textId="77777777" w:rsidR="00ED5F1A" w:rsidRPr="00ED5F1A" w:rsidRDefault="00000000" w:rsidP="00ED5F1A">
            <w:pPr>
              <w:pStyle w:val="MdTableCell"/>
              <w:jc w:val="both"/>
              <w:rPr>
                <w:rStyle w:val="MdStrong"/>
                <w:rFonts w:asciiTheme="majorHAnsi" w:hAnsiTheme="majorHAnsi"/>
                <w:sz w:val="18"/>
                <w:szCs w:val="18"/>
              </w:rPr>
            </w:pPr>
            <w:r w:rsidRPr="00ED5F1A">
              <w:rPr>
                <w:rStyle w:val="MdStrong"/>
                <w:rFonts w:asciiTheme="majorHAnsi" w:hAnsiTheme="majorHAnsi"/>
                <w:sz w:val="18"/>
                <w:szCs w:val="18"/>
              </w:rPr>
              <w:t>Alto</w:t>
            </w:r>
          </w:p>
          <w:p w14:paraId="420D42B4" w14:textId="17BADE31" w:rsidR="00626463" w:rsidRPr="00ED5F1A" w:rsidRDefault="00000000" w:rsidP="00ED5F1A">
            <w:pPr>
              <w:pStyle w:val="MdTableCell"/>
              <w:jc w:val="both"/>
              <w:rPr>
                <w:rFonts w:asciiTheme="majorHAnsi" w:hAnsiTheme="majorHAnsi"/>
                <w:sz w:val="18"/>
                <w:szCs w:val="18"/>
              </w:rPr>
            </w:pPr>
            <w:r w:rsidRPr="00ED5F1A">
              <w:rPr>
                <w:rFonts w:asciiTheme="majorHAnsi" w:hAnsiTheme="majorHAnsi"/>
                <w:sz w:val="18"/>
                <w:szCs w:val="18"/>
              </w:rPr>
              <w:t>Perda de oportunidades de negócio, aumento de custos operacionais.</w:t>
            </w:r>
          </w:p>
        </w:tc>
        <w:tc>
          <w:tcPr>
            <w:tcW w:w="0" w:type="auto"/>
            <w:tcMar>
              <w:top w:w="80" w:type="dxa"/>
              <w:left w:w="120" w:type="dxa"/>
              <w:bottom w:w="80" w:type="dxa"/>
              <w:right w:w="120" w:type="dxa"/>
            </w:tcMar>
            <w:vAlign w:val="center"/>
          </w:tcPr>
          <w:p w14:paraId="2A4D471F" w14:textId="77777777" w:rsidR="00ED5F1A" w:rsidRPr="00ED5F1A" w:rsidRDefault="00000000" w:rsidP="00ED5F1A">
            <w:pPr>
              <w:pStyle w:val="MdTableCell"/>
              <w:jc w:val="both"/>
              <w:rPr>
                <w:rStyle w:val="MdStrong"/>
                <w:rFonts w:asciiTheme="majorHAnsi" w:hAnsiTheme="majorHAnsi"/>
                <w:sz w:val="18"/>
                <w:szCs w:val="18"/>
              </w:rPr>
            </w:pPr>
            <w:r w:rsidRPr="00ED5F1A">
              <w:rPr>
                <w:rStyle w:val="MdStrong"/>
                <w:rFonts w:asciiTheme="majorHAnsi" w:hAnsiTheme="majorHAnsi"/>
                <w:sz w:val="18"/>
                <w:szCs w:val="18"/>
              </w:rPr>
              <w:t>Baixo/Médio</w:t>
            </w:r>
          </w:p>
          <w:p w14:paraId="11C4C836" w14:textId="55229224" w:rsidR="00626463" w:rsidRPr="00ED5F1A" w:rsidRDefault="00000000" w:rsidP="00ED5F1A">
            <w:pPr>
              <w:pStyle w:val="MdTableCell"/>
              <w:jc w:val="both"/>
              <w:rPr>
                <w:rFonts w:asciiTheme="majorHAnsi" w:hAnsiTheme="majorHAnsi"/>
                <w:sz w:val="18"/>
                <w:szCs w:val="18"/>
              </w:rPr>
            </w:pPr>
            <w:r w:rsidRPr="00ED5F1A">
              <w:rPr>
                <w:rFonts w:asciiTheme="majorHAnsi" w:hAnsiTheme="majorHAnsi"/>
                <w:sz w:val="18"/>
                <w:szCs w:val="18"/>
              </w:rPr>
              <w:t>Pode indicar fragilidade nos controles internos.</w:t>
            </w:r>
          </w:p>
        </w:tc>
        <w:tc>
          <w:tcPr>
            <w:tcW w:w="0" w:type="auto"/>
            <w:tcMar>
              <w:top w:w="80" w:type="dxa"/>
              <w:left w:w="120" w:type="dxa"/>
              <w:bottom w:w="80" w:type="dxa"/>
              <w:right w:w="120" w:type="dxa"/>
            </w:tcMar>
            <w:vAlign w:val="center"/>
          </w:tcPr>
          <w:p w14:paraId="380F63B1" w14:textId="77777777" w:rsidR="00ED5F1A" w:rsidRPr="00ED5F1A" w:rsidRDefault="00000000" w:rsidP="00ED5F1A">
            <w:pPr>
              <w:pStyle w:val="MdTableCell"/>
              <w:jc w:val="both"/>
              <w:rPr>
                <w:rStyle w:val="MdStrong"/>
                <w:rFonts w:asciiTheme="majorHAnsi" w:hAnsiTheme="majorHAnsi"/>
                <w:sz w:val="18"/>
                <w:szCs w:val="18"/>
              </w:rPr>
            </w:pPr>
            <w:r w:rsidRPr="00ED5F1A">
              <w:rPr>
                <w:rStyle w:val="MdStrong"/>
                <w:rFonts w:asciiTheme="majorHAnsi" w:hAnsiTheme="majorHAnsi"/>
                <w:sz w:val="18"/>
                <w:szCs w:val="18"/>
              </w:rPr>
              <w:t>Médio</w:t>
            </w:r>
          </w:p>
          <w:p w14:paraId="45418AC5" w14:textId="27DF2EB3" w:rsidR="00626463" w:rsidRPr="00ED5F1A" w:rsidRDefault="00000000" w:rsidP="00ED5F1A">
            <w:pPr>
              <w:pStyle w:val="MdTableCell"/>
              <w:jc w:val="both"/>
              <w:rPr>
                <w:rFonts w:asciiTheme="majorHAnsi" w:hAnsiTheme="majorHAnsi"/>
                <w:sz w:val="18"/>
                <w:szCs w:val="18"/>
              </w:rPr>
            </w:pPr>
            <w:r w:rsidRPr="00ED5F1A">
              <w:rPr>
                <w:rFonts w:asciiTheme="majorHAnsi" w:hAnsiTheme="majorHAnsi"/>
                <w:sz w:val="18"/>
                <w:szCs w:val="18"/>
              </w:rPr>
              <w:t>Gera ambiente de desconfiança e conflito interno.</w:t>
            </w:r>
          </w:p>
        </w:tc>
        <w:tc>
          <w:tcPr>
            <w:tcW w:w="0" w:type="auto"/>
            <w:tcMar>
              <w:top w:w="80" w:type="dxa"/>
              <w:left w:w="120" w:type="dxa"/>
              <w:bottom w:w="80" w:type="dxa"/>
              <w:right w:w="120" w:type="dxa"/>
            </w:tcMar>
            <w:vAlign w:val="center"/>
          </w:tcPr>
          <w:p w14:paraId="7E758885" w14:textId="77777777" w:rsidR="00626463" w:rsidRPr="00ED5F1A" w:rsidRDefault="00000000" w:rsidP="00ED5F1A">
            <w:pPr>
              <w:pStyle w:val="MdTableCell"/>
              <w:jc w:val="both"/>
              <w:rPr>
                <w:rFonts w:asciiTheme="majorHAnsi" w:hAnsiTheme="majorHAnsi"/>
                <w:sz w:val="18"/>
                <w:szCs w:val="18"/>
              </w:rPr>
            </w:pPr>
            <w:r w:rsidRPr="00ED5F1A">
              <w:rPr>
                <w:rFonts w:asciiTheme="majorHAnsi" w:hAnsiTheme="majorHAnsi"/>
                <w:sz w:val="18"/>
                <w:szCs w:val="18"/>
              </w:rPr>
              <w:t>Lista exaustiva e restrita de matérias sujeitas a veto, poder decisório para a diretoria em gestão ordinária.</w:t>
            </w:r>
          </w:p>
        </w:tc>
      </w:tr>
      <w:tr w:rsidR="00626463" w:rsidRPr="00ED5F1A" w14:paraId="7E3D30A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15A3B37" w14:textId="77777777" w:rsidR="00626463" w:rsidRPr="00ED5F1A" w:rsidRDefault="00000000" w:rsidP="00ED5F1A">
            <w:pPr>
              <w:pStyle w:val="MdTableCell"/>
              <w:jc w:val="both"/>
              <w:rPr>
                <w:rFonts w:asciiTheme="majorHAnsi" w:hAnsiTheme="majorHAnsi"/>
                <w:sz w:val="18"/>
                <w:szCs w:val="18"/>
              </w:rPr>
            </w:pPr>
            <w:r w:rsidRPr="00ED5F1A">
              <w:rPr>
                <w:rStyle w:val="MdStrong"/>
                <w:rFonts w:asciiTheme="majorHAnsi" w:hAnsiTheme="majorHAnsi"/>
                <w:sz w:val="18"/>
                <w:szCs w:val="18"/>
              </w:rPr>
              <w:t>Conflito de Interesses / Concorrência</w:t>
            </w:r>
          </w:p>
        </w:tc>
        <w:tc>
          <w:tcPr>
            <w:tcW w:w="0" w:type="auto"/>
            <w:tcMar>
              <w:top w:w="80" w:type="dxa"/>
              <w:left w:w="120" w:type="dxa"/>
              <w:bottom w:w="80" w:type="dxa"/>
              <w:right w:w="120" w:type="dxa"/>
            </w:tcMar>
            <w:vAlign w:val="center"/>
          </w:tcPr>
          <w:p w14:paraId="5D9EA5D7" w14:textId="77777777" w:rsidR="00626463" w:rsidRPr="00ED5F1A" w:rsidRDefault="00000000" w:rsidP="00ED5F1A">
            <w:pPr>
              <w:pStyle w:val="MdTableCell"/>
              <w:jc w:val="both"/>
              <w:rPr>
                <w:rFonts w:asciiTheme="majorHAnsi" w:hAnsiTheme="majorHAnsi"/>
                <w:sz w:val="18"/>
                <w:szCs w:val="18"/>
              </w:rPr>
            </w:pPr>
            <w:r w:rsidRPr="00ED5F1A">
              <w:rPr>
                <w:rFonts w:asciiTheme="majorHAnsi" w:hAnsiTheme="majorHAnsi"/>
                <w:sz w:val="18"/>
                <w:szCs w:val="18"/>
              </w:rPr>
              <w:t>Sócio atua em negócios concorrentes ou utiliza informações da companhia para benefício próprio.</w:t>
            </w:r>
          </w:p>
        </w:tc>
        <w:tc>
          <w:tcPr>
            <w:tcW w:w="0" w:type="auto"/>
            <w:tcMar>
              <w:top w:w="80" w:type="dxa"/>
              <w:left w:w="120" w:type="dxa"/>
              <w:bottom w:w="80" w:type="dxa"/>
              <w:right w:w="120" w:type="dxa"/>
            </w:tcMar>
            <w:vAlign w:val="center"/>
          </w:tcPr>
          <w:p w14:paraId="34E251B3" w14:textId="77777777" w:rsidR="00ED5F1A" w:rsidRPr="00ED5F1A" w:rsidRDefault="00000000" w:rsidP="00ED5F1A">
            <w:pPr>
              <w:pStyle w:val="MdTableCell"/>
              <w:jc w:val="both"/>
              <w:rPr>
                <w:rStyle w:val="MdStrong"/>
                <w:rFonts w:asciiTheme="majorHAnsi" w:hAnsiTheme="majorHAnsi"/>
                <w:sz w:val="18"/>
                <w:szCs w:val="18"/>
              </w:rPr>
            </w:pPr>
            <w:r w:rsidRPr="00ED5F1A">
              <w:rPr>
                <w:rStyle w:val="MdStrong"/>
                <w:rFonts w:asciiTheme="majorHAnsi" w:hAnsiTheme="majorHAnsi"/>
                <w:sz w:val="18"/>
                <w:szCs w:val="18"/>
              </w:rPr>
              <w:t>Alto</w:t>
            </w:r>
          </w:p>
          <w:p w14:paraId="2A4D026C" w14:textId="3D7E6480" w:rsidR="00626463" w:rsidRPr="00ED5F1A" w:rsidRDefault="00000000" w:rsidP="00ED5F1A">
            <w:pPr>
              <w:pStyle w:val="MdTableCell"/>
              <w:jc w:val="both"/>
              <w:rPr>
                <w:rFonts w:asciiTheme="majorHAnsi" w:hAnsiTheme="majorHAnsi"/>
                <w:sz w:val="18"/>
                <w:szCs w:val="18"/>
              </w:rPr>
            </w:pPr>
            <w:r w:rsidRPr="00ED5F1A">
              <w:rPr>
                <w:rFonts w:asciiTheme="majorHAnsi" w:hAnsiTheme="majorHAnsi"/>
                <w:sz w:val="18"/>
                <w:szCs w:val="18"/>
              </w:rPr>
              <w:t>Perda de receita, desvio de clientes e oportunidades.</w:t>
            </w:r>
          </w:p>
        </w:tc>
        <w:tc>
          <w:tcPr>
            <w:tcW w:w="0" w:type="auto"/>
            <w:tcMar>
              <w:top w:w="80" w:type="dxa"/>
              <w:left w:w="120" w:type="dxa"/>
              <w:bottom w:w="80" w:type="dxa"/>
              <w:right w:w="120" w:type="dxa"/>
            </w:tcMar>
            <w:vAlign w:val="center"/>
          </w:tcPr>
          <w:p w14:paraId="48A526CF" w14:textId="77777777" w:rsidR="00ED5F1A" w:rsidRPr="00ED5F1A" w:rsidRDefault="00000000" w:rsidP="00ED5F1A">
            <w:pPr>
              <w:pStyle w:val="MdTableCell"/>
              <w:jc w:val="both"/>
              <w:rPr>
                <w:rStyle w:val="MdStrong"/>
                <w:rFonts w:asciiTheme="majorHAnsi" w:hAnsiTheme="majorHAnsi"/>
                <w:sz w:val="18"/>
                <w:szCs w:val="18"/>
              </w:rPr>
            </w:pPr>
            <w:r w:rsidRPr="00ED5F1A">
              <w:rPr>
                <w:rStyle w:val="MdStrong"/>
                <w:rFonts w:asciiTheme="majorHAnsi" w:hAnsiTheme="majorHAnsi"/>
                <w:sz w:val="18"/>
                <w:szCs w:val="18"/>
              </w:rPr>
              <w:t>Médio</w:t>
            </w:r>
          </w:p>
          <w:p w14:paraId="6762B07D" w14:textId="402438D5" w:rsidR="00626463" w:rsidRPr="00ED5F1A" w:rsidRDefault="00000000" w:rsidP="00ED5F1A">
            <w:pPr>
              <w:pStyle w:val="MdTableCell"/>
              <w:jc w:val="both"/>
              <w:rPr>
                <w:rFonts w:asciiTheme="majorHAnsi" w:hAnsiTheme="majorHAnsi"/>
                <w:sz w:val="18"/>
                <w:szCs w:val="18"/>
              </w:rPr>
            </w:pPr>
            <w:r w:rsidRPr="00ED5F1A">
              <w:rPr>
                <w:rFonts w:asciiTheme="majorHAnsi" w:hAnsiTheme="majorHAnsi"/>
                <w:sz w:val="18"/>
                <w:szCs w:val="18"/>
              </w:rPr>
              <w:t>Violação de dever fiduciário, pode atrair escrutínio da SUSEP.</w:t>
            </w:r>
          </w:p>
        </w:tc>
        <w:tc>
          <w:tcPr>
            <w:tcW w:w="0" w:type="auto"/>
            <w:tcMar>
              <w:top w:w="80" w:type="dxa"/>
              <w:left w:w="120" w:type="dxa"/>
              <w:bottom w:w="80" w:type="dxa"/>
              <w:right w:w="120" w:type="dxa"/>
            </w:tcMar>
            <w:vAlign w:val="center"/>
          </w:tcPr>
          <w:p w14:paraId="029972EC" w14:textId="77777777" w:rsidR="00ED5F1A" w:rsidRPr="00ED5F1A" w:rsidRDefault="00000000" w:rsidP="00ED5F1A">
            <w:pPr>
              <w:pStyle w:val="MdTableCell"/>
              <w:jc w:val="both"/>
              <w:rPr>
                <w:rStyle w:val="MdStrong"/>
                <w:rFonts w:asciiTheme="majorHAnsi" w:hAnsiTheme="majorHAnsi"/>
                <w:sz w:val="18"/>
                <w:szCs w:val="18"/>
              </w:rPr>
            </w:pPr>
            <w:r w:rsidRPr="00ED5F1A">
              <w:rPr>
                <w:rStyle w:val="MdStrong"/>
                <w:rFonts w:asciiTheme="majorHAnsi" w:hAnsiTheme="majorHAnsi"/>
                <w:sz w:val="18"/>
                <w:szCs w:val="18"/>
              </w:rPr>
              <w:t>Alto</w:t>
            </w:r>
          </w:p>
          <w:p w14:paraId="5019A1A5" w14:textId="2A510E2C" w:rsidR="00626463" w:rsidRPr="00ED5F1A" w:rsidRDefault="00000000" w:rsidP="00ED5F1A">
            <w:pPr>
              <w:pStyle w:val="MdTableCell"/>
              <w:jc w:val="both"/>
              <w:rPr>
                <w:rFonts w:asciiTheme="majorHAnsi" w:hAnsiTheme="majorHAnsi"/>
                <w:sz w:val="18"/>
                <w:szCs w:val="18"/>
              </w:rPr>
            </w:pPr>
            <w:r w:rsidRPr="00ED5F1A">
              <w:rPr>
                <w:rFonts w:asciiTheme="majorHAnsi" w:hAnsiTheme="majorHAnsi"/>
                <w:sz w:val="18"/>
                <w:szCs w:val="18"/>
              </w:rPr>
              <w:t>Quebra de confiança entre sócios e com o mercado.</w:t>
            </w:r>
          </w:p>
        </w:tc>
        <w:tc>
          <w:tcPr>
            <w:tcW w:w="0" w:type="auto"/>
            <w:tcMar>
              <w:top w:w="80" w:type="dxa"/>
              <w:left w:w="120" w:type="dxa"/>
              <w:bottom w:w="80" w:type="dxa"/>
              <w:right w:w="120" w:type="dxa"/>
            </w:tcMar>
            <w:vAlign w:val="center"/>
          </w:tcPr>
          <w:p w14:paraId="025B28E9" w14:textId="77777777" w:rsidR="00626463" w:rsidRPr="00ED5F1A" w:rsidRDefault="00000000" w:rsidP="00ED5F1A">
            <w:pPr>
              <w:pStyle w:val="MdTableCell"/>
              <w:jc w:val="both"/>
              <w:rPr>
                <w:rFonts w:asciiTheme="majorHAnsi" w:hAnsiTheme="majorHAnsi"/>
                <w:sz w:val="18"/>
                <w:szCs w:val="18"/>
              </w:rPr>
            </w:pPr>
            <w:r w:rsidRPr="00ED5F1A">
              <w:rPr>
                <w:rFonts w:asciiTheme="majorHAnsi" w:hAnsiTheme="majorHAnsi"/>
                <w:sz w:val="18"/>
                <w:szCs w:val="18"/>
              </w:rPr>
              <w:t>Cláusulas de não concorrência e não aliciamento (durante e após a sociedade), com multas elevadas.</w:t>
            </w:r>
          </w:p>
        </w:tc>
      </w:tr>
      <w:tr w:rsidR="00626463" w:rsidRPr="00ED5F1A" w14:paraId="447C596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C8192B4" w14:textId="77777777" w:rsidR="00626463" w:rsidRPr="00ED5F1A" w:rsidRDefault="00000000" w:rsidP="00ED5F1A">
            <w:pPr>
              <w:pStyle w:val="MdTableCell"/>
              <w:jc w:val="both"/>
              <w:rPr>
                <w:rFonts w:asciiTheme="majorHAnsi" w:hAnsiTheme="majorHAnsi"/>
                <w:sz w:val="18"/>
                <w:szCs w:val="18"/>
              </w:rPr>
            </w:pPr>
            <w:r w:rsidRPr="00ED5F1A">
              <w:rPr>
                <w:rStyle w:val="MdStrong"/>
                <w:rFonts w:asciiTheme="majorHAnsi" w:hAnsiTheme="majorHAnsi"/>
                <w:sz w:val="18"/>
                <w:szCs w:val="18"/>
              </w:rPr>
              <w:t>Saída Inesperada / Desestruturada</w:t>
            </w:r>
          </w:p>
        </w:tc>
        <w:tc>
          <w:tcPr>
            <w:tcW w:w="0" w:type="auto"/>
            <w:tcMar>
              <w:top w:w="80" w:type="dxa"/>
              <w:left w:w="120" w:type="dxa"/>
              <w:bottom w:w="80" w:type="dxa"/>
              <w:right w:w="120" w:type="dxa"/>
            </w:tcMar>
            <w:vAlign w:val="center"/>
          </w:tcPr>
          <w:p w14:paraId="61E5C7CC" w14:textId="77777777" w:rsidR="00626463" w:rsidRPr="00ED5F1A" w:rsidRDefault="00000000" w:rsidP="00ED5F1A">
            <w:pPr>
              <w:pStyle w:val="MdTableCell"/>
              <w:jc w:val="both"/>
              <w:rPr>
                <w:rFonts w:asciiTheme="majorHAnsi" w:hAnsiTheme="majorHAnsi"/>
                <w:sz w:val="18"/>
                <w:szCs w:val="18"/>
              </w:rPr>
            </w:pPr>
            <w:r w:rsidRPr="00ED5F1A">
              <w:rPr>
                <w:rFonts w:asciiTheme="majorHAnsi" w:hAnsiTheme="majorHAnsi"/>
                <w:sz w:val="18"/>
                <w:szCs w:val="18"/>
              </w:rPr>
              <w:t>Sócio decide sair no meio de um projeto ou de uma crise, exigindo a liquidação de sua participação.</w:t>
            </w:r>
          </w:p>
        </w:tc>
        <w:tc>
          <w:tcPr>
            <w:tcW w:w="0" w:type="auto"/>
            <w:tcMar>
              <w:top w:w="80" w:type="dxa"/>
              <w:left w:w="120" w:type="dxa"/>
              <w:bottom w:w="80" w:type="dxa"/>
              <w:right w:w="120" w:type="dxa"/>
            </w:tcMar>
            <w:vAlign w:val="center"/>
          </w:tcPr>
          <w:p w14:paraId="472ED718" w14:textId="6C40D822" w:rsidR="00626463" w:rsidRPr="00ED5F1A" w:rsidRDefault="00000000" w:rsidP="00ED5F1A">
            <w:pPr>
              <w:pStyle w:val="MdTableCell"/>
              <w:jc w:val="both"/>
              <w:rPr>
                <w:rFonts w:asciiTheme="majorHAnsi" w:hAnsiTheme="majorHAnsi"/>
                <w:sz w:val="18"/>
                <w:szCs w:val="18"/>
              </w:rPr>
            </w:pPr>
            <w:r w:rsidRPr="00ED5F1A">
              <w:rPr>
                <w:rStyle w:val="MdStrong"/>
                <w:rFonts w:asciiTheme="majorHAnsi" w:hAnsiTheme="majorHAnsi"/>
                <w:sz w:val="18"/>
                <w:szCs w:val="18"/>
              </w:rPr>
              <w:t>Crítico</w:t>
            </w:r>
            <w:r w:rsidR="00ED5F1A" w:rsidRPr="00ED5F1A">
              <w:rPr>
                <w:rStyle w:val="MdStrong"/>
                <w:rFonts w:asciiTheme="majorHAnsi" w:hAnsiTheme="majorHAnsi"/>
                <w:sz w:val="18"/>
                <w:szCs w:val="18"/>
              </w:rPr>
              <w:t xml:space="preserve"> </w:t>
            </w:r>
            <w:r w:rsidRPr="00ED5F1A">
              <w:rPr>
                <w:rFonts w:asciiTheme="majorHAnsi" w:hAnsiTheme="majorHAnsi"/>
                <w:sz w:val="18"/>
                <w:szCs w:val="18"/>
              </w:rPr>
              <w:t>Descapitalização abrupta da empresa para pagar os haveres do sócio retirante.</w:t>
            </w:r>
          </w:p>
        </w:tc>
        <w:tc>
          <w:tcPr>
            <w:tcW w:w="0" w:type="auto"/>
            <w:tcMar>
              <w:top w:w="80" w:type="dxa"/>
              <w:left w:w="120" w:type="dxa"/>
              <w:bottom w:w="80" w:type="dxa"/>
              <w:right w:w="120" w:type="dxa"/>
            </w:tcMar>
            <w:vAlign w:val="center"/>
          </w:tcPr>
          <w:p w14:paraId="38951C80" w14:textId="77777777" w:rsidR="00ED5F1A" w:rsidRPr="00ED5F1A" w:rsidRDefault="00000000" w:rsidP="00ED5F1A">
            <w:pPr>
              <w:pStyle w:val="MdTableCell"/>
              <w:jc w:val="both"/>
              <w:rPr>
                <w:rStyle w:val="MdStrong"/>
                <w:rFonts w:asciiTheme="majorHAnsi" w:hAnsiTheme="majorHAnsi"/>
                <w:sz w:val="18"/>
                <w:szCs w:val="18"/>
              </w:rPr>
            </w:pPr>
            <w:r w:rsidRPr="00ED5F1A">
              <w:rPr>
                <w:rStyle w:val="MdStrong"/>
                <w:rFonts w:asciiTheme="majorHAnsi" w:hAnsiTheme="majorHAnsi"/>
                <w:sz w:val="18"/>
                <w:szCs w:val="18"/>
              </w:rPr>
              <w:t>Alto</w:t>
            </w:r>
          </w:p>
          <w:p w14:paraId="6AFE8277" w14:textId="610FDCC3" w:rsidR="00626463" w:rsidRPr="00ED5F1A" w:rsidRDefault="00000000" w:rsidP="00ED5F1A">
            <w:pPr>
              <w:pStyle w:val="MdTableCell"/>
              <w:jc w:val="both"/>
              <w:rPr>
                <w:rFonts w:asciiTheme="majorHAnsi" w:hAnsiTheme="majorHAnsi"/>
                <w:sz w:val="18"/>
                <w:szCs w:val="18"/>
              </w:rPr>
            </w:pPr>
            <w:r w:rsidRPr="00ED5F1A">
              <w:rPr>
                <w:rFonts w:asciiTheme="majorHAnsi" w:hAnsiTheme="majorHAnsi"/>
                <w:sz w:val="18"/>
                <w:szCs w:val="18"/>
              </w:rPr>
              <w:t>Pode comprometer o capital regulatório e a continuidade operacional.</w:t>
            </w:r>
          </w:p>
        </w:tc>
        <w:tc>
          <w:tcPr>
            <w:tcW w:w="0" w:type="auto"/>
            <w:tcMar>
              <w:top w:w="80" w:type="dxa"/>
              <w:left w:w="120" w:type="dxa"/>
              <w:bottom w:w="80" w:type="dxa"/>
              <w:right w:w="120" w:type="dxa"/>
            </w:tcMar>
            <w:vAlign w:val="center"/>
          </w:tcPr>
          <w:p w14:paraId="0D768CE6" w14:textId="77777777" w:rsidR="00ED5F1A" w:rsidRPr="00ED5F1A" w:rsidRDefault="00000000" w:rsidP="00ED5F1A">
            <w:pPr>
              <w:pStyle w:val="MdTableCell"/>
              <w:jc w:val="both"/>
              <w:rPr>
                <w:rStyle w:val="MdStrong"/>
                <w:rFonts w:asciiTheme="majorHAnsi" w:hAnsiTheme="majorHAnsi"/>
                <w:sz w:val="18"/>
                <w:szCs w:val="18"/>
              </w:rPr>
            </w:pPr>
            <w:r w:rsidRPr="00ED5F1A">
              <w:rPr>
                <w:rStyle w:val="MdStrong"/>
                <w:rFonts w:asciiTheme="majorHAnsi" w:hAnsiTheme="majorHAnsi"/>
                <w:sz w:val="18"/>
                <w:szCs w:val="18"/>
              </w:rPr>
              <w:t>Alto</w:t>
            </w:r>
          </w:p>
          <w:p w14:paraId="40E00BC3" w14:textId="2BD46013" w:rsidR="00626463" w:rsidRPr="00ED5F1A" w:rsidRDefault="00000000" w:rsidP="00ED5F1A">
            <w:pPr>
              <w:pStyle w:val="MdTableCell"/>
              <w:jc w:val="both"/>
              <w:rPr>
                <w:rFonts w:asciiTheme="majorHAnsi" w:hAnsiTheme="majorHAnsi"/>
                <w:sz w:val="18"/>
                <w:szCs w:val="18"/>
              </w:rPr>
            </w:pPr>
            <w:r w:rsidRPr="00ED5F1A">
              <w:rPr>
                <w:rFonts w:asciiTheme="majorHAnsi" w:hAnsiTheme="majorHAnsi"/>
                <w:sz w:val="18"/>
                <w:szCs w:val="18"/>
              </w:rPr>
              <w:t>Sinaliza instabilidade e risco para investidores e parceiros.</w:t>
            </w:r>
          </w:p>
        </w:tc>
        <w:tc>
          <w:tcPr>
            <w:tcW w:w="0" w:type="auto"/>
            <w:tcMar>
              <w:top w:w="80" w:type="dxa"/>
              <w:left w:w="120" w:type="dxa"/>
              <w:bottom w:w="80" w:type="dxa"/>
              <w:right w:w="120" w:type="dxa"/>
            </w:tcMar>
            <w:vAlign w:val="center"/>
          </w:tcPr>
          <w:p w14:paraId="6E300D55" w14:textId="77777777" w:rsidR="00626463" w:rsidRPr="00ED5F1A" w:rsidRDefault="00000000" w:rsidP="00ED5F1A">
            <w:pPr>
              <w:pStyle w:val="MdTableCell"/>
              <w:jc w:val="both"/>
              <w:rPr>
                <w:rFonts w:asciiTheme="majorHAnsi" w:hAnsiTheme="majorHAnsi"/>
                <w:sz w:val="18"/>
                <w:szCs w:val="18"/>
              </w:rPr>
            </w:pPr>
            <w:r w:rsidRPr="00ED5F1A">
              <w:rPr>
                <w:rFonts w:asciiTheme="majorHAnsi" w:hAnsiTheme="majorHAnsi"/>
                <w:sz w:val="18"/>
                <w:szCs w:val="18"/>
              </w:rPr>
              <w:t xml:space="preserve">Período de </w:t>
            </w:r>
            <w:proofErr w:type="spellStart"/>
            <w:r w:rsidRPr="00ED5F1A">
              <w:rPr>
                <w:rFonts w:asciiTheme="majorHAnsi" w:hAnsiTheme="majorHAnsi"/>
                <w:sz w:val="18"/>
                <w:szCs w:val="18"/>
              </w:rPr>
              <w:t>lock-up</w:t>
            </w:r>
            <w:proofErr w:type="spellEnd"/>
            <w:r w:rsidRPr="00ED5F1A">
              <w:rPr>
                <w:rFonts w:asciiTheme="majorHAnsi" w:hAnsiTheme="majorHAnsi"/>
                <w:sz w:val="18"/>
                <w:szCs w:val="18"/>
              </w:rPr>
              <w:t xml:space="preserve">, regras claras de </w:t>
            </w:r>
            <w:proofErr w:type="spellStart"/>
            <w:r w:rsidRPr="00ED5F1A">
              <w:rPr>
                <w:rFonts w:asciiTheme="majorHAnsi" w:hAnsiTheme="majorHAnsi"/>
                <w:sz w:val="18"/>
                <w:szCs w:val="18"/>
              </w:rPr>
              <w:t>valuation</w:t>
            </w:r>
            <w:proofErr w:type="spellEnd"/>
            <w:r w:rsidRPr="00ED5F1A">
              <w:rPr>
                <w:rFonts w:asciiTheme="majorHAnsi" w:hAnsiTheme="majorHAnsi"/>
                <w:sz w:val="18"/>
                <w:szCs w:val="18"/>
              </w:rPr>
              <w:t>, pagamento parcelado dos haveres, direito de preferência.</w:t>
            </w:r>
          </w:p>
        </w:tc>
      </w:tr>
      <w:tr w:rsidR="00626463" w:rsidRPr="00ED5F1A" w14:paraId="7BA58286"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717DE6D4" w14:textId="77777777" w:rsidR="00626463" w:rsidRPr="00ED5F1A" w:rsidRDefault="00000000" w:rsidP="00ED5F1A">
            <w:pPr>
              <w:pStyle w:val="MdTableCell"/>
              <w:jc w:val="both"/>
              <w:rPr>
                <w:rFonts w:asciiTheme="majorHAnsi" w:hAnsiTheme="majorHAnsi"/>
                <w:sz w:val="18"/>
                <w:szCs w:val="18"/>
              </w:rPr>
            </w:pPr>
            <w:r w:rsidRPr="00ED5F1A">
              <w:rPr>
                <w:rStyle w:val="MdStrong"/>
                <w:rFonts w:asciiTheme="majorHAnsi" w:hAnsiTheme="majorHAnsi"/>
                <w:sz w:val="18"/>
                <w:szCs w:val="18"/>
              </w:rPr>
              <w:t>Responsabilização por Atos de Terceiros</w:t>
            </w:r>
          </w:p>
        </w:tc>
        <w:tc>
          <w:tcPr>
            <w:tcW w:w="0" w:type="auto"/>
            <w:tcBorders>
              <w:bottom w:val="single" w:sz="4" w:space="0" w:color="E1E4E8"/>
            </w:tcBorders>
            <w:tcMar>
              <w:top w:w="80" w:type="dxa"/>
              <w:left w:w="120" w:type="dxa"/>
              <w:bottom w:w="80" w:type="dxa"/>
              <w:right w:w="120" w:type="dxa"/>
            </w:tcMar>
            <w:vAlign w:val="center"/>
          </w:tcPr>
          <w:p w14:paraId="060D583E" w14:textId="77777777" w:rsidR="00626463" w:rsidRPr="00ED5F1A" w:rsidRDefault="00000000" w:rsidP="00ED5F1A">
            <w:pPr>
              <w:pStyle w:val="MdTableCell"/>
              <w:jc w:val="both"/>
              <w:rPr>
                <w:rFonts w:asciiTheme="majorHAnsi" w:hAnsiTheme="majorHAnsi"/>
                <w:sz w:val="18"/>
                <w:szCs w:val="18"/>
              </w:rPr>
            </w:pPr>
            <w:r w:rsidRPr="00ED5F1A">
              <w:rPr>
                <w:rFonts w:asciiTheme="majorHAnsi" w:hAnsiTheme="majorHAnsi"/>
                <w:sz w:val="18"/>
                <w:szCs w:val="18"/>
              </w:rPr>
              <w:t>Dívidas ou processos judiciais de um sócio (pessoa física) respingam na sociedade.</w:t>
            </w:r>
          </w:p>
        </w:tc>
        <w:tc>
          <w:tcPr>
            <w:tcW w:w="0" w:type="auto"/>
            <w:tcBorders>
              <w:bottom w:val="single" w:sz="4" w:space="0" w:color="E1E4E8"/>
            </w:tcBorders>
            <w:tcMar>
              <w:top w:w="80" w:type="dxa"/>
              <w:left w:w="120" w:type="dxa"/>
              <w:bottom w:w="80" w:type="dxa"/>
              <w:right w:w="120" w:type="dxa"/>
            </w:tcMar>
            <w:vAlign w:val="center"/>
          </w:tcPr>
          <w:p w14:paraId="32D9AE27" w14:textId="77777777" w:rsidR="00ED5F1A" w:rsidRPr="00ED5F1A" w:rsidRDefault="00000000" w:rsidP="00ED5F1A">
            <w:pPr>
              <w:pStyle w:val="MdTableCell"/>
              <w:jc w:val="both"/>
              <w:rPr>
                <w:rStyle w:val="MdStrong"/>
                <w:rFonts w:asciiTheme="majorHAnsi" w:hAnsiTheme="majorHAnsi"/>
                <w:sz w:val="18"/>
                <w:szCs w:val="18"/>
              </w:rPr>
            </w:pPr>
            <w:r w:rsidRPr="00ED5F1A">
              <w:rPr>
                <w:rStyle w:val="MdStrong"/>
                <w:rFonts w:asciiTheme="majorHAnsi" w:hAnsiTheme="majorHAnsi"/>
                <w:sz w:val="18"/>
                <w:szCs w:val="18"/>
              </w:rPr>
              <w:t>Médio/Alto</w:t>
            </w:r>
          </w:p>
          <w:p w14:paraId="48FEF45A" w14:textId="40A5C740" w:rsidR="00626463" w:rsidRPr="00ED5F1A" w:rsidRDefault="00000000" w:rsidP="00ED5F1A">
            <w:pPr>
              <w:pStyle w:val="MdTableCell"/>
              <w:jc w:val="both"/>
              <w:rPr>
                <w:rFonts w:asciiTheme="majorHAnsi" w:hAnsiTheme="majorHAnsi"/>
                <w:sz w:val="18"/>
                <w:szCs w:val="18"/>
              </w:rPr>
            </w:pPr>
            <w:r w:rsidRPr="00ED5F1A">
              <w:rPr>
                <w:rFonts w:asciiTheme="majorHAnsi" w:hAnsiTheme="majorHAnsi"/>
                <w:sz w:val="18"/>
                <w:szCs w:val="18"/>
              </w:rPr>
              <w:t>Custos jurídicos, risco de penhora de quotas/ações.</w:t>
            </w:r>
          </w:p>
        </w:tc>
        <w:tc>
          <w:tcPr>
            <w:tcW w:w="0" w:type="auto"/>
            <w:tcBorders>
              <w:bottom w:val="single" w:sz="4" w:space="0" w:color="E1E4E8"/>
            </w:tcBorders>
            <w:tcMar>
              <w:top w:w="80" w:type="dxa"/>
              <w:left w:w="120" w:type="dxa"/>
              <w:bottom w:w="80" w:type="dxa"/>
              <w:right w:w="120" w:type="dxa"/>
            </w:tcMar>
            <w:vAlign w:val="center"/>
          </w:tcPr>
          <w:p w14:paraId="1930605E" w14:textId="77777777" w:rsidR="00ED5F1A" w:rsidRPr="00ED5F1A" w:rsidRDefault="00000000" w:rsidP="00ED5F1A">
            <w:pPr>
              <w:pStyle w:val="MdTableCell"/>
              <w:jc w:val="both"/>
              <w:rPr>
                <w:rStyle w:val="MdStrong"/>
                <w:rFonts w:asciiTheme="majorHAnsi" w:hAnsiTheme="majorHAnsi"/>
                <w:sz w:val="18"/>
                <w:szCs w:val="18"/>
              </w:rPr>
            </w:pPr>
            <w:r w:rsidRPr="00ED5F1A">
              <w:rPr>
                <w:rStyle w:val="MdStrong"/>
                <w:rFonts w:asciiTheme="majorHAnsi" w:hAnsiTheme="majorHAnsi"/>
                <w:sz w:val="18"/>
                <w:szCs w:val="18"/>
              </w:rPr>
              <w:t>Baixo</w:t>
            </w:r>
          </w:p>
          <w:p w14:paraId="77F0F284" w14:textId="67F410AB" w:rsidR="00626463" w:rsidRPr="00ED5F1A" w:rsidRDefault="00000000" w:rsidP="00ED5F1A">
            <w:pPr>
              <w:pStyle w:val="MdTableCell"/>
              <w:jc w:val="both"/>
              <w:rPr>
                <w:rFonts w:asciiTheme="majorHAnsi" w:hAnsiTheme="majorHAnsi"/>
                <w:sz w:val="18"/>
                <w:szCs w:val="18"/>
              </w:rPr>
            </w:pPr>
            <w:r w:rsidRPr="00ED5F1A">
              <w:rPr>
                <w:rFonts w:asciiTheme="majorHAnsi" w:hAnsiTheme="majorHAnsi"/>
                <w:sz w:val="18"/>
                <w:szCs w:val="18"/>
              </w:rPr>
              <w:t>A menos que afete a idoneidade do sócio.</w:t>
            </w:r>
          </w:p>
        </w:tc>
        <w:tc>
          <w:tcPr>
            <w:tcW w:w="0" w:type="auto"/>
            <w:tcBorders>
              <w:bottom w:val="single" w:sz="4" w:space="0" w:color="E1E4E8"/>
            </w:tcBorders>
            <w:tcMar>
              <w:top w:w="80" w:type="dxa"/>
              <w:left w:w="120" w:type="dxa"/>
              <w:bottom w:w="80" w:type="dxa"/>
              <w:right w:w="120" w:type="dxa"/>
            </w:tcMar>
            <w:vAlign w:val="center"/>
          </w:tcPr>
          <w:p w14:paraId="76ACF503" w14:textId="77777777" w:rsidR="00ED5F1A" w:rsidRPr="00ED5F1A" w:rsidRDefault="00000000" w:rsidP="00ED5F1A">
            <w:pPr>
              <w:pStyle w:val="MdTableCell"/>
              <w:jc w:val="both"/>
              <w:rPr>
                <w:rStyle w:val="MdStrong"/>
                <w:rFonts w:asciiTheme="majorHAnsi" w:hAnsiTheme="majorHAnsi"/>
                <w:sz w:val="18"/>
                <w:szCs w:val="18"/>
              </w:rPr>
            </w:pPr>
            <w:r w:rsidRPr="00ED5F1A">
              <w:rPr>
                <w:rStyle w:val="MdStrong"/>
                <w:rFonts w:asciiTheme="majorHAnsi" w:hAnsiTheme="majorHAnsi"/>
                <w:sz w:val="18"/>
                <w:szCs w:val="18"/>
              </w:rPr>
              <w:t>Médio</w:t>
            </w:r>
          </w:p>
          <w:p w14:paraId="71949947" w14:textId="3C71D95F" w:rsidR="00626463" w:rsidRPr="00ED5F1A" w:rsidRDefault="00000000" w:rsidP="00ED5F1A">
            <w:pPr>
              <w:pStyle w:val="MdTableCell"/>
              <w:jc w:val="both"/>
              <w:rPr>
                <w:rFonts w:asciiTheme="majorHAnsi" w:hAnsiTheme="majorHAnsi"/>
                <w:sz w:val="18"/>
                <w:szCs w:val="18"/>
              </w:rPr>
            </w:pPr>
            <w:r w:rsidRPr="00ED5F1A">
              <w:rPr>
                <w:rFonts w:asciiTheme="majorHAnsi" w:hAnsiTheme="majorHAnsi"/>
                <w:sz w:val="18"/>
                <w:szCs w:val="18"/>
              </w:rPr>
              <w:t>Associa a imagem da empresa a problemas pessoais de um sócio.</w:t>
            </w:r>
          </w:p>
        </w:tc>
        <w:tc>
          <w:tcPr>
            <w:tcW w:w="0" w:type="auto"/>
            <w:tcBorders>
              <w:bottom w:val="single" w:sz="4" w:space="0" w:color="E1E4E8"/>
            </w:tcBorders>
            <w:tcMar>
              <w:top w:w="80" w:type="dxa"/>
              <w:left w:w="120" w:type="dxa"/>
              <w:bottom w:w="80" w:type="dxa"/>
              <w:right w:w="120" w:type="dxa"/>
            </w:tcMar>
            <w:vAlign w:val="center"/>
          </w:tcPr>
          <w:p w14:paraId="6CC92536" w14:textId="77777777" w:rsidR="00626463" w:rsidRPr="00ED5F1A" w:rsidRDefault="00000000" w:rsidP="00ED5F1A">
            <w:pPr>
              <w:pStyle w:val="MdTableCell"/>
              <w:jc w:val="both"/>
              <w:rPr>
                <w:rFonts w:asciiTheme="majorHAnsi" w:hAnsiTheme="majorHAnsi"/>
                <w:sz w:val="18"/>
                <w:szCs w:val="18"/>
              </w:rPr>
            </w:pPr>
            <w:r w:rsidRPr="00ED5F1A">
              <w:rPr>
                <w:rFonts w:asciiTheme="majorHAnsi" w:hAnsiTheme="majorHAnsi"/>
                <w:sz w:val="18"/>
                <w:szCs w:val="18"/>
              </w:rPr>
              <w:t>Estruturação via Holding Patrimonial, cláusula de impenhorabilidade (limitada), acordo de quotistas.</w:t>
            </w:r>
          </w:p>
        </w:tc>
      </w:tr>
    </w:tbl>
    <w:p w14:paraId="206624E4" w14:textId="77777777" w:rsidR="00626463" w:rsidRPr="00ED5F1A" w:rsidRDefault="00626463" w:rsidP="00ED5F1A">
      <w:pPr>
        <w:pStyle w:val="MdSpace"/>
        <w:spacing w:after="60"/>
        <w:jc w:val="both"/>
        <w:rPr>
          <w:rFonts w:asciiTheme="majorHAnsi" w:hAnsiTheme="majorHAnsi"/>
          <w:sz w:val="22"/>
          <w:szCs w:val="22"/>
        </w:rPr>
      </w:pPr>
    </w:p>
    <w:p w14:paraId="09A1F06F" w14:textId="77777777" w:rsidR="00626463" w:rsidRPr="00ED5F1A" w:rsidRDefault="00000000" w:rsidP="00ED5F1A">
      <w:pPr>
        <w:pStyle w:val="MdHeading2"/>
        <w:jc w:val="both"/>
        <w:rPr>
          <w:rFonts w:asciiTheme="majorHAnsi" w:hAnsiTheme="majorHAnsi"/>
          <w:sz w:val="22"/>
          <w:szCs w:val="22"/>
        </w:rPr>
      </w:pPr>
      <w:r w:rsidRPr="00ED5F1A">
        <w:rPr>
          <w:rFonts w:asciiTheme="majorHAnsi" w:hAnsiTheme="majorHAnsi"/>
          <w:sz w:val="22"/>
          <w:szCs w:val="22"/>
        </w:rPr>
        <w:lastRenderedPageBreak/>
        <w:t>Anexo II: Recomendações Explícitas de Cláusulas Duras para Acordo de Sócios</w:t>
      </w:r>
    </w:p>
    <w:p w14:paraId="24918F3E" w14:textId="77777777" w:rsidR="00626463" w:rsidRPr="00ED5F1A" w:rsidRDefault="00000000" w:rsidP="00ED5F1A">
      <w:pPr>
        <w:pStyle w:val="MdParagraph"/>
        <w:jc w:val="both"/>
        <w:rPr>
          <w:rFonts w:asciiTheme="majorHAnsi" w:hAnsiTheme="majorHAnsi"/>
          <w:sz w:val="22"/>
          <w:szCs w:val="22"/>
        </w:rPr>
      </w:pPr>
      <w:r w:rsidRPr="00ED5F1A">
        <w:rPr>
          <w:rFonts w:asciiTheme="majorHAnsi" w:hAnsiTheme="majorHAnsi"/>
          <w:sz w:val="22"/>
          <w:szCs w:val="22"/>
        </w:rPr>
        <w:t>Um Acordo de Sócios eficaz em um ambiente regulado deve ir além do padrão, incorporando mecanismos contratuais robustos e autoaplicáveis. Abaixo estão recomendações explícitas que devem ser redigidas por assessoria jurídica especializada.</w:t>
      </w:r>
    </w:p>
    <w:p w14:paraId="7F310AD9" w14:textId="77777777" w:rsidR="00626463" w:rsidRPr="00ED5F1A" w:rsidRDefault="00626463" w:rsidP="00ED5F1A">
      <w:pPr>
        <w:pStyle w:val="MdSpace"/>
        <w:spacing w:after="60"/>
        <w:jc w:val="both"/>
        <w:rPr>
          <w:rFonts w:asciiTheme="majorHAnsi" w:hAnsiTheme="majorHAnsi"/>
          <w:sz w:val="22"/>
          <w:szCs w:val="22"/>
        </w:rPr>
      </w:pPr>
    </w:p>
    <w:p w14:paraId="177A120F" w14:textId="77777777" w:rsidR="00626463" w:rsidRPr="00ED5F1A" w:rsidRDefault="00000000" w:rsidP="00ED5F1A">
      <w:pPr>
        <w:pStyle w:val="MdListItem"/>
        <w:numPr>
          <w:ilvl w:val="0"/>
          <w:numId w:val="3"/>
        </w:numPr>
        <w:jc w:val="both"/>
        <w:rPr>
          <w:rFonts w:asciiTheme="majorHAnsi" w:hAnsiTheme="majorHAnsi"/>
          <w:sz w:val="22"/>
          <w:szCs w:val="22"/>
        </w:rPr>
      </w:pPr>
      <w:r w:rsidRPr="00ED5F1A">
        <w:rPr>
          <w:rStyle w:val="MdStrong"/>
          <w:rFonts w:asciiTheme="majorHAnsi" w:hAnsiTheme="majorHAnsi"/>
          <w:sz w:val="22"/>
          <w:szCs w:val="22"/>
        </w:rPr>
        <w:t xml:space="preserve">Cláusula de </w:t>
      </w:r>
      <w:proofErr w:type="spellStart"/>
      <w:r w:rsidRPr="00ED5F1A">
        <w:rPr>
          <w:rStyle w:val="MdStrong"/>
          <w:rFonts w:asciiTheme="majorHAnsi" w:hAnsiTheme="majorHAnsi"/>
          <w:sz w:val="22"/>
          <w:szCs w:val="22"/>
        </w:rPr>
        <w:t>Lock-up</w:t>
      </w:r>
      <w:proofErr w:type="spellEnd"/>
      <w:r w:rsidRPr="00ED5F1A">
        <w:rPr>
          <w:rStyle w:val="MdStrong"/>
          <w:rFonts w:asciiTheme="majorHAnsi" w:hAnsiTheme="majorHAnsi"/>
          <w:sz w:val="22"/>
          <w:szCs w:val="22"/>
        </w:rPr>
        <w:t xml:space="preserve"> (Período de Intransmissibilidade):</w:t>
      </w:r>
    </w:p>
    <w:p w14:paraId="41137A3A" w14:textId="77777777" w:rsidR="00626463" w:rsidRPr="00ED5F1A" w:rsidRDefault="00000000" w:rsidP="00ED5F1A">
      <w:pPr>
        <w:pStyle w:val="MdListItem"/>
        <w:numPr>
          <w:ilvl w:val="1"/>
          <w:numId w:val="3"/>
        </w:numPr>
        <w:jc w:val="both"/>
        <w:rPr>
          <w:rFonts w:asciiTheme="majorHAnsi" w:hAnsiTheme="majorHAnsi"/>
          <w:sz w:val="22"/>
          <w:szCs w:val="22"/>
        </w:rPr>
      </w:pPr>
      <w:r w:rsidRPr="00ED5F1A">
        <w:rPr>
          <w:rStyle w:val="MdStrong"/>
          <w:rFonts w:asciiTheme="majorHAnsi" w:hAnsiTheme="majorHAnsi"/>
          <w:sz w:val="22"/>
          <w:szCs w:val="22"/>
        </w:rPr>
        <w:t>Recomendação:</w:t>
      </w:r>
      <w:r w:rsidRPr="00ED5F1A">
        <w:rPr>
          <w:rFonts w:asciiTheme="majorHAnsi" w:hAnsiTheme="majorHAnsi"/>
          <w:sz w:val="22"/>
          <w:szCs w:val="22"/>
        </w:rPr>
        <w:t xml:space="preserve"> Estabelecer um período mínimo (e.g., 5 a 7 anos) durante o qual nenhum sócio pode vender, ceder ou onerar sua participação. Isso garante o comprometimento de todos com a fase inicial e mais crítica do projeto, que envolve a consolidação operacional e o cumprimento do plano de negócios apresentado à SUSEP.</w:t>
      </w:r>
    </w:p>
    <w:p w14:paraId="2344E66D" w14:textId="77777777" w:rsidR="00626463" w:rsidRPr="00ED5F1A" w:rsidRDefault="00000000" w:rsidP="00ED5F1A">
      <w:pPr>
        <w:pStyle w:val="MdListItem"/>
        <w:numPr>
          <w:ilvl w:val="0"/>
          <w:numId w:val="3"/>
        </w:numPr>
        <w:jc w:val="both"/>
        <w:rPr>
          <w:rFonts w:asciiTheme="majorHAnsi" w:hAnsiTheme="majorHAnsi"/>
          <w:sz w:val="22"/>
          <w:szCs w:val="22"/>
        </w:rPr>
      </w:pPr>
      <w:r w:rsidRPr="00ED5F1A">
        <w:rPr>
          <w:rStyle w:val="MdStrong"/>
          <w:rFonts w:asciiTheme="majorHAnsi" w:hAnsiTheme="majorHAnsi"/>
          <w:sz w:val="22"/>
          <w:szCs w:val="22"/>
        </w:rPr>
        <w:t>Cláusula de Compra e Venda Forçada (</w:t>
      </w:r>
      <w:proofErr w:type="spellStart"/>
      <w:r w:rsidRPr="00ED5F1A">
        <w:rPr>
          <w:rStyle w:val="MdStrong"/>
          <w:rFonts w:asciiTheme="majorHAnsi" w:hAnsiTheme="majorHAnsi"/>
          <w:sz w:val="22"/>
          <w:szCs w:val="22"/>
        </w:rPr>
        <w:t>Buy</w:t>
      </w:r>
      <w:proofErr w:type="spellEnd"/>
      <w:r w:rsidRPr="00ED5F1A">
        <w:rPr>
          <w:rStyle w:val="MdStrong"/>
          <w:rFonts w:asciiTheme="majorHAnsi" w:hAnsiTheme="majorHAnsi"/>
          <w:sz w:val="22"/>
          <w:szCs w:val="22"/>
        </w:rPr>
        <w:t xml:space="preserve">-Sell / </w:t>
      </w:r>
      <w:proofErr w:type="spellStart"/>
      <w:r w:rsidRPr="00ED5F1A">
        <w:rPr>
          <w:rStyle w:val="MdStrong"/>
          <w:rFonts w:asciiTheme="majorHAnsi" w:hAnsiTheme="majorHAnsi"/>
          <w:sz w:val="22"/>
          <w:szCs w:val="22"/>
        </w:rPr>
        <w:t>Shotgun</w:t>
      </w:r>
      <w:proofErr w:type="spellEnd"/>
      <w:r w:rsidRPr="00ED5F1A">
        <w:rPr>
          <w:rStyle w:val="MdStrong"/>
          <w:rFonts w:asciiTheme="majorHAnsi" w:hAnsiTheme="majorHAnsi"/>
          <w:sz w:val="22"/>
          <w:szCs w:val="22"/>
        </w:rPr>
        <w:t>):</w:t>
      </w:r>
    </w:p>
    <w:p w14:paraId="2548B7E5" w14:textId="77777777" w:rsidR="00626463" w:rsidRPr="00ED5F1A" w:rsidRDefault="00000000" w:rsidP="00ED5F1A">
      <w:pPr>
        <w:pStyle w:val="MdListItem"/>
        <w:numPr>
          <w:ilvl w:val="1"/>
          <w:numId w:val="3"/>
        </w:numPr>
        <w:jc w:val="both"/>
        <w:rPr>
          <w:rFonts w:asciiTheme="majorHAnsi" w:hAnsiTheme="majorHAnsi"/>
          <w:sz w:val="22"/>
          <w:szCs w:val="22"/>
        </w:rPr>
      </w:pPr>
      <w:r w:rsidRPr="00ED5F1A">
        <w:rPr>
          <w:rStyle w:val="MdStrong"/>
          <w:rFonts w:asciiTheme="majorHAnsi" w:hAnsiTheme="majorHAnsi"/>
          <w:sz w:val="22"/>
          <w:szCs w:val="22"/>
        </w:rPr>
        <w:t>Recomendação:</w:t>
      </w:r>
      <w:r w:rsidRPr="00ED5F1A">
        <w:rPr>
          <w:rFonts w:asciiTheme="majorHAnsi" w:hAnsiTheme="majorHAnsi"/>
          <w:sz w:val="22"/>
          <w:szCs w:val="22"/>
        </w:rPr>
        <w:t xml:space="preserve"> Estruturar uma cláusula de compra e venda forçada para ser usada como último recurso em caso de deadlock. A redação deve ser precisa, definindo o procedimento de notificação, os prazos para resposta e a forma de pagamento, a fim de evitar disputas sobre sua aplicação.</w:t>
      </w:r>
    </w:p>
    <w:p w14:paraId="71C38CED" w14:textId="77777777" w:rsidR="00626463" w:rsidRPr="00ED5F1A" w:rsidRDefault="00000000" w:rsidP="00ED5F1A">
      <w:pPr>
        <w:pStyle w:val="MdListItem"/>
        <w:numPr>
          <w:ilvl w:val="0"/>
          <w:numId w:val="3"/>
        </w:numPr>
        <w:jc w:val="both"/>
        <w:rPr>
          <w:rFonts w:asciiTheme="majorHAnsi" w:hAnsiTheme="majorHAnsi"/>
          <w:sz w:val="22"/>
          <w:szCs w:val="22"/>
        </w:rPr>
      </w:pPr>
      <w:r w:rsidRPr="00ED5F1A">
        <w:rPr>
          <w:rStyle w:val="MdStrong"/>
          <w:rFonts w:asciiTheme="majorHAnsi" w:hAnsiTheme="majorHAnsi"/>
          <w:sz w:val="22"/>
          <w:szCs w:val="22"/>
        </w:rPr>
        <w:t>Cláusula de Diluição Punitiva por Inadimplência:</w:t>
      </w:r>
    </w:p>
    <w:p w14:paraId="76025DE6" w14:textId="77777777" w:rsidR="00626463" w:rsidRPr="00ED5F1A" w:rsidRDefault="00000000" w:rsidP="00ED5F1A">
      <w:pPr>
        <w:pStyle w:val="MdListItem"/>
        <w:numPr>
          <w:ilvl w:val="1"/>
          <w:numId w:val="3"/>
        </w:numPr>
        <w:jc w:val="both"/>
        <w:rPr>
          <w:rFonts w:asciiTheme="majorHAnsi" w:hAnsiTheme="majorHAnsi"/>
          <w:sz w:val="22"/>
          <w:szCs w:val="22"/>
        </w:rPr>
      </w:pPr>
      <w:r w:rsidRPr="00ED5F1A">
        <w:rPr>
          <w:rStyle w:val="MdStrong"/>
          <w:rFonts w:asciiTheme="majorHAnsi" w:hAnsiTheme="majorHAnsi"/>
          <w:sz w:val="22"/>
          <w:szCs w:val="22"/>
        </w:rPr>
        <w:t>Recomendação:</w:t>
      </w:r>
      <w:r w:rsidRPr="00ED5F1A">
        <w:rPr>
          <w:rFonts w:asciiTheme="majorHAnsi" w:hAnsiTheme="majorHAnsi"/>
          <w:sz w:val="22"/>
          <w:szCs w:val="22"/>
        </w:rPr>
        <w:t xml:space="preserve"> Definir uma fórmula de diluição que penalize severamente o sócio inadimplente. Por exemplo: os sócios adimplentes que aportarem o valor devido pelo inadimplente poderão converter esse aporte em participação acionária com um deságio de 50% sobre o valor patrimonial da ação/quota, tornando a inadimplência uma opção extremamente custosa.</w:t>
      </w:r>
    </w:p>
    <w:p w14:paraId="53D93FDB" w14:textId="77777777" w:rsidR="00626463" w:rsidRPr="00ED5F1A" w:rsidRDefault="00000000" w:rsidP="00ED5F1A">
      <w:pPr>
        <w:pStyle w:val="MdListItem"/>
        <w:numPr>
          <w:ilvl w:val="0"/>
          <w:numId w:val="3"/>
        </w:numPr>
        <w:jc w:val="both"/>
        <w:rPr>
          <w:rFonts w:asciiTheme="majorHAnsi" w:hAnsiTheme="majorHAnsi"/>
          <w:sz w:val="22"/>
          <w:szCs w:val="22"/>
        </w:rPr>
      </w:pPr>
      <w:r w:rsidRPr="00ED5F1A">
        <w:rPr>
          <w:rStyle w:val="MdStrong"/>
          <w:rFonts w:asciiTheme="majorHAnsi" w:hAnsiTheme="majorHAnsi"/>
          <w:sz w:val="22"/>
          <w:szCs w:val="22"/>
        </w:rPr>
        <w:t>Cláusula de Recompra Compulsória por Justa Causa (</w:t>
      </w:r>
      <w:proofErr w:type="spellStart"/>
      <w:r w:rsidRPr="00ED5F1A">
        <w:rPr>
          <w:rStyle w:val="MdStrong"/>
          <w:rFonts w:asciiTheme="majorHAnsi" w:hAnsiTheme="majorHAnsi"/>
          <w:sz w:val="22"/>
          <w:szCs w:val="22"/>
        </w:rPr>
        <w:t>Forced</w:t>
      </w:r>
      <w:proofErr w:type="spellEnd"/>
      <w:r w:rsidRPr="00ED5F1A">
        <w:rPr>
          <w:rStyle w:val="MdStrong"/>
          <w:rFonts w:asciiTheme="majorHAnsi" w:hAnsiTheme="majorHAnsi"/>
          <w:sz w:val="22"/>
          <w:szCs w:val="22"/>
        </w:rPr>
        <w:t xml:space="preserve"> </w:t>
      </w:r>
      <w:proofErr w:type="spellStart"/>
      <w:r w:rsidRPr="00ED5F1A">
        <w:rPr>
          <w:rStyle w:val="MdStrong"/>
          <w:rFonts w:asciiTheme="majorHAnsi" w:hAnsiTheme="majorHAnsi"/>
          <w:sz w:val="22"/>
          <w:szCs w:val="22"/>
        </w:rPr>
        <w:t>Buy</w:t>
      </w:r>
      <w:proofErr w:type="spellEnd"/>
      <w:r w:rsidRPr="00ED5F1A">
        <w:rPr>
          <w:rStyle w:val="MdStrong"/>
          <w:rFonts w:asciiTheme="majorHAnsi" w:hAnsiTheme="majorHAnsi"/>
          <w:sz w:val="22"/>
          <w:szCs w:val="22"/>
        </w:rPr>
        <w:t>-Out):</w:t>
      </w:r>
    </w:p>
    <w:p w14:paraId="5073A5C6" w14:textId="77777777" w:rsidR="00626463" w:rsidRPr="00ED5F1A" w:rsidRDefault="00000000" w:rsidP="00ED5F1A">
      <w:pPr>
        <w:pStyle w:val="MdListItem"/>
        <w:numPr>
          <w:ilvl w:val="1"/>
          <w:numId w:val="3"/>
        </w:numPr>
        <w:jc w:val="both"/>
        <w:rPr>
          <w:rFonts w:asciiTheme="majorHAnsi" w:hAnsiTheme="majorHAnsi"/>
          <w:sz w:val="22"/>
          <w:szCs w:val="22"/>
        </w:rPr>
      </w:pPr>
      <w:r w:rsidRPr="00ED5F1A">
        <w:rPr>
          <w:rStyle w:val="MdStrong"/>
          <w:rFonts w:asciiTheme="majorHAnsi" w:hAnsiTheme="majorHAnsi"/>
          <w:sz w:val="22"/>
          <w:szCs w:val="22"/>
        </w:rPr>
        <w:t>Recomendação:</w:t>
      </w:r>
      <w:r w:rsidRPr="00ED5F1A">
        <w:rPr>
          <w:rFonts w:asciiTheme="majorHAnsi" w:hAnsiTheme="majorHAnsi"/>
          <w:sz w:val="22"/>
          <w:szCs w:val="22"/>
        </w:rPr>
        <w:t xml:space="preserve"> Listar os eventos de justa causa (perda de idoneidade, violação de não </w:t>
      </w:r>
      <w:proofErr w:type="gramStart"/>
      <w:r w:rsidRPr="00ED5F1A">
        <w:rPr>
          <w:rFonts w:asciiTheme="majorHAnsi" w:hAnsiTheme="majorHAnsi"/>
          <w:sz w:val="22"/>
          <w:szCs w:val="22"/>
        </w:rPr>
        <w:t>concorrência, etc.</w:t>
      </w:r>
      <w:proofErr w:type="gramEnd"/>
      <w:r w:rsidRPr="00ED5F1A">
        <w:rPr>
          <w:rFonts w:asciiTheme="majorHAnsi" w:hAnsiTheme="majorHAnsi"/>
          <w:sz w:val="22"/>
          <w:szCs w:val="22"/>
        </w:rPr>
        <w:t>) que ativam o direito dos demais sócios de comprar compulsoriamente a participação do infrator. O preço de compra deve ser calculado com um deságio punitivo (e.g., 30% a 50% sobre o valor de laudo de avaliação) e o pagamento deve ser estendido por um longo prazo (e.g., 36 a 60 meses) para proteger o caixa da companhia.</w:t>
      </w:r>
    </w:p>
    <w:p w14:paraId="7FAB8860" w14:textId="77777777" w:rsidR="00626463" w:rsidRPr="00ED5F1A" w:rsidRDefault="00000000" w:rsidP="00ED5F1A">
      <w:pPr>
        <w:pStyle w:val="MdListItem"/>
        <w:numPr>
          <w:ilvl w:val="0"/>
          <w:numId w:val="3"/>
        </w:numPr>
        <w:jc w:val="both"/>
        <w:rPr>
          <w:rFonts w:asciiTheme="majorHAnsi" w:hAnsiTheme="majorHAnsi"/>
          <w:sz w:val="22"/>
          <w:szCs w:val="22"/>
        </w:rPr>
      </w:pPr>
      <w:r w:rsidRPr="00ED5F1A">
        <w:rPr>
          <w:rStyle w:val="MdStrong"/>
          <w:rFonts w:asciiTheme="majorHAnsi" w:hAnsiTheme="majorHAnsi"/>
          <w:sz w:val="22"/>
          <w:szCs w:val="22"/>
        </w:rPr>
        <w:t>Cláusula de Não Concorrência e Não Aliciamento (Non-Compete &amp; Non-</w:t>
      </w:r>
      <w:proofErr w:type="spellStart"/>
      <w:r w:rsidRPr="00ED5F1A">
        <w:rPr>
          <w:rStyle w:val="MdStrong"/>
          <w:rFonts w:asciiTheme="majorHAnsi" w:hAnsiTheme="majorHAnsi"/>
          <w:sz w:val="22"/>
          <w:szCs w:val="22"/>
        </w:rPr>
        <w:t>Solicitation</w:t>
      </w:r>
      <w:proofErr w:type="spellEnd"/>
      <w:r w:rsidRPr="00ED5F1A">
        <w:rPr>
          <w:rStyle w:val="MdStrong"/>
          <w:rFonts w:asciiTheme="majorHAnsi" w:hAnsiTheme="majorHAnsi"/>
          <w:sz w:val="22"/>
          <w:szCs w:val="22"/>
        </w:rPr>
        <w:t>):</w:t>
      </w:r>
    </w:p>
    <w:p w14:paraId="729BB6D8" w14:textId="77777777" w:rsidR="00626463" w:rsidRPr="00ED5F1A" w:rsidRDefault="00000000" w:rsidP="00ED5F1A">
      <w:pPr>
        <w:pStyle w:val="MdListItem"/>
        <w:numPr>
          <w:ilvl w:val="1"/>
          <w:numId w:val="3"/>
        </w:numPr>
        <w:jc w:val="both"/>
        <w:rPr>
          <w:rFonts w:asciiTheme="majorHAnsi" w:hAnsiTheme="majorHAnsi"/>
          <w:sz w:val="22"/>
          <w:szCs w:val="22"/>
        </w:rPr>
      </w:pPr>
      <w:r w:rsidRPr="00ED5F1A">
        <w:rPr>
          <w:rStyle w:val="MdStrong"/>
          <w:rFonts w:asciiTheme="majorHAnsi" w:hAnsiTheme="majorHAnsi"/>
          <w:sz w:val="22"/>
          <w:szCs w:val="22"/>
        </w:rPr>
        <w:t>Recomendação:</w:t>
      </w:r>
      <w:r w:rsidRPr="00ED5F1A">
        <w:rPr>
          <w:rFonts w:asciiTheme="majorHAnsi" w:hAnsiTheme="majorHAnsi"/>
          <w:sz w:val="22"/>
          <w:szCs w:val="22"/>
        </w:rPr>
        <w:t xml:space="preserve"> A cláusula deve ser ampla, cobrindo geograficamente todo o território nacional e temporalmente por um período de 3 a 5 anos após a saída do sócio. Deve especificar claramente os mercados vedados (seguros, resseguros, previdência, capitalização, proteção </w:t>
      </w:r>
      <w:proofErr w:type="gramStart"/>
      <w:r w:rsidRPr="00ED5F1A">
        <w:rPr>
          <w:rFonts w:asciiTheme="majorHAnsi" w:hAnsiTheme="majorHAnsi"/>
          <w:sz w:val="22"/>
          <w:szCs w:val="22"/>
        </w:rPr>
        <w:t>mutualista, etc.</w:t>
      </w:r>
      <w:proofErr w:type="gramEnd"/>
      <w:r w:rsidRPr="00ED5F1A">
        <w:rPr>
          <w:rFonts w:asciiTheme="majorHAnsi" w:hAnsiTheme="majorHAnsi"/>
          <w:sz w:val="22"/>
          <w:szCs w:val="22"/>
        </w:rPr>
        <w:t>) e prever uma multa contratual elevada e prefixada (</w:t>
      </w:r>
      <w:proofErr w:type="spellStart"/>
      <w:r w:rsidRPr="00ED5F1A">
        <w:rPr>
          <w:rFonts w:asciiTheme="majorHAnsi" w:hAnsiTheme="majorHAnsi"/>
          <w:sz w:val="22"/>
          <w:szCs w:val="22"/>
        </w:rPr>
        <w:t>liquidated</w:t>
      </w:r>
      <w:proofErr w:type="spellEnd"/>
      <w:r w:rsidRPr="00ED5F1A">
        <w:rPr>
          <w:rFonts w:asciiTheme="majorHAnsi" w:hAnsiTheme="majorHAnsi"/>
          <w:sz w:val="22"/>
          <w:szCs w:val="22"/>
        </w:rPr>
        <w:t xml:space="preserve"> </w:t>
      </w:r>
      <w:proofErr w:type="spellStart"/>
      <w:r w:rsidRPr="00ED5F1A">
        <w:rPr>
          <w:rFonts w:asciiTheme="majorHAnsi" w:hAnsiTheme="majorHAnsi"/>
          <w:sz w:val="22"/>
          <w:szCs w:val="22"/>
        </w:rPr>
        <w:t>damages</w:t>
      </w:r>
      <w:proofErr w:type="spellEnd"/>
      <w:r w:rsidRPr="00ED5F1A">
        <w:rPr>
          <w:rFonts w:asciiTheme="majorHAnsi" w:hAnsiTheme="majorHAnsi"/>
          <w:sz w:val="22"/>
          <w:szCs w:val="22"/>
        </w:rPr>
        <w:t>) em caso de violação, dispensando a necessidade de comprovar a extensão do prejuízo.</w:t>
      </w:r>
    </w:p>
    <w:p w14:paraId="5AC272EE" w14:textId="77777777" w:rsidR="00626463" w:rsidRPr="00ED5F1A" w:rsidRDefault="00000000" w:rsidP="00ED5F1A">
      <w:pPr>
        <w:pStyle w:val="MdListItem"/>
        <w:numPr>
          <w:ilvl w:val="0"/>
          <w:numId w:val="3"/>
        </w:numPr>
        <w:jc w:val="both"/>
        <w:rPr>
          <w:rFonts w:asciiTheme="majorHAnsi" w:hAnsiTheme="majorHAnsi"/>
          <w:sz w:val="22"/>
          <w:szCs w:val="22"/>
        </w:rPr>
      </w:pPr>
      <w:r w:rsidRPr="00ED5F1A">
        <w:rPr>
          <w:rStyle w:val="MdStrong"/>
          <w:rFonts w:asciiTheme="majorHAnsi" w:hAnsiTheme="majorHAnsi"/>
          <w:sz w:val="22"/>
          <w:szCs w:val="22"/>
        </w:rPr>
        <w:t>Conta Escrow para Garantia de Obrigações:</w:t>
      </w:r>
    </w:p>
    <w:p w14:paraId="70BFF50A" w14:textId="77777777" w:rsidR="00626463" w:rsidRDefault="00000000" w:rsidP="00ED5F1A">
      <w:pPr>
        <w:pStyle w:val="MdListItem"/>
        <w:numPr>
          <w:ilvl w:val="1"/>
          <w:numId w:val="3"/>
        </w:numPr>
        <w:jc w:val="both"/>
        <w:rPr>
          <w:rFonts w:asciiTheme="majorHAnsi" w:hAnsiTheme="majorHAnsi"/>
          <w:sz w:val="22"/>
          <w:szCs w:val="22"/>
        </w:rPr>
      </w:pPr>
      <w:r w:rsidRPr="00ED5F1A">
        <w:rPr>
          <w:rStyle w:val="MdStrong"/>
          <w:rFonts w:asciiTheme="majorHAnsi" w:hAnsiTheme="majorHAnsi"/>
          <w:sz w:val="22"/>
          <w:szCs w:val="22"/>
        </w:rPr>
        <w:t>Recomendação:</w:t>
      </w:r>
      <w:r w:rsidRPr="00ED5F1A">
        <w:rPr>
          <w:rFonts w:asciiTheme="majorHAnsi" w:hAnsiTheme="majorHAnsi"/>
          <w:sz w:val="22"/>
          <w:szCs w:val="22"/>
        </w:rPr>
        <w:t xml:space="preserve"> Considerar a criação de uma conta </w:t>
      </w:r>
      <w:proofErr w:type="spellStart"/>
      <w:r w:rsidRPr="00ED5F1A">
        <w:rPr>
          <w:rFonts w:asciiTheme="majorHAnsi" w:hAnsiTheme="majorHAnsi"/>
          <w:sz w:val="22"/>
          <w:szCs w:val="22"/>
        </w:rPr>
        <w:t>escrow</w:t>
      </w:r>
      <w:proofErr w:type="spellEnd"/>
      <w:r w:rsidRPr="00ED5F1A">
        <w:rPr>
          <w:rFonts w:asciiTheme="majorHAnsi" w:hAnsiTheme="majorHAnsi"/>
          <w:sz w:val="22"/>
          <w:szCs w:val="22"/>
        </w:rPr>
        <w:t xml:space="preserve"> onde uma parte dos dividendos a serem distribuídos a cada sócio fique retida por um período (e.g., 12 a 24 meses) para garantir o cumprimento de obrigações futuras ou o ressarcimento de danos causados à sociedade por um ato de sua responsabilidade.</w:t>
      </w:r>
    </w:p>
    <w:p w14:paraId="042C0B0C" w14:textId="77777777" w:rsidR="00ED5F1A" w:rsidRDefault="00ED5F1A" w:rsidP="00ED5F1A">
      <w:pPr>
        <w:pStyle w:val="MdListItem"/>
        <w:jc w:val="both"/>
        <w:rPr>
          <w:rFonts w:asciiTheme="majorHAnsi" w:hAnsiTheme="majorHAnsi"/>
          <w:sz w:val="22"/>
          <w:szCs w:val="22"/>
        </w:rPr>
      </w:pPr>
    </w:p>
    <w:p w14:paraId="178E3771" w14:textId="77777777" w:rsidR="00ED5F1A" w:rsidRDefault="00ED5F1A" w:rsidP="00ED5F1A">
      <w:pPr>
        <w:pStyle w:val="MdListItem"/>
        <w:jc w:val="both"/>
        <w:rPr>
          <w:rFonts w:asciiTheme="majorHAnsi" w:hAnsiTheme="majorHAnsi"/>
          <w:sz w:val="22"/>
          <w:szCs w:val="22"/>
        </w:rPr>
      </w:pPr>
    </w:p>
    <w:p w14:paraId="618871F6" w14:textId="77777777" w:rsidR="00ED5F1A" w:rsidRDefault="00ED5F1A" w:rsidP="00ED5F1A">
      <w:pPr>
        <w:pStyle w:val="MdListItem"/>
        <w:jc w:val="both"/>
        <w:rPr>
          <w:rFonts w:asciiTheme="majorHAnsi" w:hAnsiTheme="majorHAnsi"/>
          <w:sz w:val="22"/>
          <w:szCs w:val="22"/>
        </w:rPr>
      </w:pPr>
    </w:p>
    <w:p w14:paraId="00E0DD1F" w14:textId="77777777" w:rsidR="00ED5F1A" w:rsidRDefault="00ED5F1A" w:rsidP="00ED5F1A">
      <w:pPr>
        <w:pStyle w:val="MdListItem"/>
        <w:jc w:val="both"/>
        <w:rPr>
          <w:rFonts w:asciiTheme="majorHAnsi" w:hAnsiTheme="majorHAnsi"/>
          <w:sz w:val="22"/>
          <w:szCs w:val="22"/>
        </w:rPr>
      </w:pPr>
    </w:p>
    <w:p w14:paraId="1A118347" w14:textId="77777777" w:rsidR="00ED5F1A" w:rsidRDefault="00ED5F1A" w:rsidP="00ED5F1A">
      <w:pPr>
        <w:pStyle w:val="MdListItem"/>
        <w:jc w:val="both"/>
        <w:rPr>
          <w:rFonts w:asciiTheme="majorHAnsi" w:hAnsiTheme="majorHAnsi"/>
          <w:sz w:val="22"/>
          <w:szCs w:val="22"/>
        </w:rPr>
      </w:pPr>
    </w:p>
    <w:p w14:paraId="0B5D2577" w14:textId="77777777" w:rsidR="00ED5F1A" w:rsidRDefault="00ED5F1A" w:rsidP="00ED5F1A">
      <w:pPr>
        <w:pStyle w:val="MdListItem"/>
        <w:jc w:val="both"/>
        <w:rPr>
          <w:rFonts w:asciiTheme="majorHAnsi" w:hAnsiTheme="majorHAnsi"/>
          <w:sz w:val="22"/>
          <w:szCs w:val="22"/>
        </w:rPr>
      </w:pPr>
    </w:p>
    <w:p w14:paraId="4C2F8067" w14:textId="77777777" w:rsidR="00ED5F1A" w:rsidRDefault="00ED5F1A" w:rsidP="00ED5F1A">
      <w:pPr>
        <w:pStyle w:val="MdListItem"/>
        <w:jc w:val="both"/>
        <w:rPr>
          <w:rFonts w:asciiTheme="majorHAnsi" w:hAnsiTheme="majorHAnsi"/>
          <w:sz w:val="22"/>
          <w:szCs w:val="22"/>
        </w:rPr>
      </w:pPr>
    </w:p>
    <w:p w14:paraId="0C549FC1" w14:textId="77777777" w:rsidR="00ED5F1A" w:rsidRDefault="00ED5F1A" w:rsidP="00ED5F1A">
      <w:pPr>
        <w:pStyle w:val="MdListItem"/>
        <w:jc w:val="both"/>
        <w:rPr>
          <w:rFonts w:asciiTheme="majorHAnsi" w:hAnsiTheme="majorHAnsi"/>
          <w:sz w:val="22"/>
          <w:szCs w:val="22"/>
        </w:rPr>
      </w:pPr>
    </w:p>
    <w:p w14:paraId="6DA4E410" w14:textId="77777777" w:rsidR="00ED5F1A" w:rsidRDefault="00ED5F1A" w:rsidP="00ED5F1A">
      <w:pPr>
        <w:pStyle w:val="MdListItem"/>
        <w:jc w:val="both"/>
        <w:rPr>
          <w:rFonts w:asciiTheme="majorHAnsi" w:hAnsiTheme="majorHAnsi"/>
          <w:sz w:val="22"/>
          <w:szCs w:val="22"/>
        </w:rPr>
      </w:pPr>
    </w:p>
    <w:p w14:paraId="24EE1BB9" w14:textId="77777777" w:rsidR="00ED5F1A" w:rsidRPr="00ED5F1A" w:rsidRDefault="00ED5F1A" w:rsidP="00ED5F1A">
      <w:pPr>
        <w:pStyle w:val="MdListItem"/>
        <w:jc w:val="both"/>
        <w:rPr>
          <w:rFonts w:asciiTheme="majorHAnsi" w:hAnsiTheme="majorHAnsi"/>
          <w:sz w:val="22"/>
          <w:szCs w:val="22"/>
        </w:rPr>
      </w:pPr>
    </w:p>
    <w:p w14:paraId="2A643D5B" w14:textId="77777777" w:rsidR="00626463" w:rsidRPr="00ED5F1A" w:rsidRDefault="00626463" w:rsidP="00ED5F1A">
      <w:pPr>
        <w:pStyle w:val="MdSpace"/>
        <w:spacing w:after="60"/>
        <w:jc w:val="both"/>
        <w:rPr>
          <w:rFonts w:asciiTheme="majorHAnsi" w:hAnsiTheme="majorHAnsi"/>
          <w:sz w:val="22"/>
          <w:szCs w:val="22"/>
        </w:rPr>
      </w:pPr>
    </w:p>
    <w:p w14:paraId="62928DC5" w14:textId="77777777" w:rsidR="00626463" w:rsidRPr="00ED5F1A" w:rsidRDefault="00000000" w:rsidP="00ED5F1A">
      <w:pPr>
        <w:pStyle w:val="MdHeading2"/>
        <w:jc w:val="both"/>
        <w:rPr>
          <w:rFonts w:asciiTheme="majorHAnsi" w:hAnsiTheme="majorHAnsi"/>
          <w:sz w:val="22"/>
          <w:szCs w:val="22"/>
        </w:rPr>
      </w:pPr>
      <w:r w:rsidRPr="00ED5F1A">
        <w:rPr>
          <w:rFonts w:asciiTheme="majorHAnsi" w:hAnsiTheme="majorHAnsi"/>
          <w:sz w:val="22"/>
          <w:szCs w:val="22"/>
        </w:rPr>
        <w:lastRenderedPageBreak/>
        <w:t>Anexo III: Alertas - Pontos que Jamais Devem Ficar Abertos em Negócios Regulados</w:t>
      </w:r>
    </w:p>
    <w:p w14:paraId="2B55A3DF" w14:textId="77777777" w:rsidR="00626463" w:rsidRPr="00ED5F1A" w:rsidRDefault="00000000" w:rsidP="00ED5F1A">
      <w:pPr>
        <w:pStyle w:val="MdParagraph"/>
        <w:jc w:val="both"/>
        <w:rPr>
          <w:rFonts w:asciiTheme="majorHAnsi" w:hAnsiTheme="majorHAnsi"/>
          <w:sz w:val="22"/>
          <w:szCs w:val="22"/>
        </w:rPr>
      </w:pPr>
      <w:r w:rsidRPr="00ED5F1A">
        <w:rPr>
          <w:rFonts w:asciiTheme="majorHAnsi" w:hAnsiTheme="majorHAnsi"/>
          <w:sz w:val="22"/>
          <w:szCs w:val="22"/>
        </w:rPr>
        <w:t xml:space="preserve">Em negócios supervisionados pela SUSEP, a ambiguidade e a postergação de decisões críticas são inaceitáveis e podem comprometer a própria autorização para funcionamento. Os pontos abaixo devem ser definidos e formalizados </w:t>
      </w:r>
      <w:r w:rsidRPr="00ED5F1A">
        <w:rPr>
          <w:rStyle w:val="MdStrong"/>
          <w:rFonts w:asciiTheme="majorHAnsi" w:hAnsiTheme="majorHAnsi"/>
          <w:sz w:val="22"/>
          <w:szCs w:val="22"/>
        </w:rPr>
        <w:t>antes</w:t>
      </w:r>
      <w:r w:rsidRPr="00ED5F1A">
        <w:rPr>
          <w:rFonts w:asciiTheme="majorHAnsi" w:hAnsiTheme="majorHAnsi"/>
          <w:sz w:val="22"/>
          <w:szCs w:val="22"/>
        </w:rPr>
        <w:t xml:space="preserve"> da constituição da sociedade.</w:t>
      </w:r>
    </w:p>
    <w:p w14:paraId="0F7C6BAB" w14:textId="77777777" w:rsidR="00626463" w:rsidRPr="00ED5F1A" w:rsidRDefault="00626463" w:rsidP="00ED5F1A">
      <w:pPr>
        <w:pStyle w:val="MdSpace"/>
        <w:spacing w:after="60"/>
        <w:jc w:val="both"/>
        <w:rPr>
          <w:rFonts w:asciiTheme="majorHAnsi" w:hAnsiTheme="majorHAnsi"/>
          <w:sz w:val="22"/>
          <w:szCs w:val="22"/>
        </w:rPr>
      </w:pPr>
    </w:p>
    <w:p w14:paraId="333B47CD"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t xml:space="preserve">Regras de Saída e </w:t>
      </w:r>
      <w:proofErr w:type="spellStart"/>
      <w:r w:rsidRPr="00ED5F1A">
        <w:rPr>
          <w:rStyle w:val="MdStrong"/>
          <w:rFonts w:asciiTheme="majorHAnsi" w:hAnsiTheme="majorHAnsi"/>
          <w:sz w:val="22"/>
          <w:szCs w:val="22"/>
        </w:rPr>
        <w:t>Valuation</w:t>
      </w:r>
      <w:proofErr w:type="spellEnd"/>
      <w:r w:rsidRPr="00ED5F1A">
        <w:rPr>
          <w:rStyle w:val="MdStrong"/>
          <w:rFonts w:asciiTheme="majorHAnsi" w:hAnsiTheme="majorHAnsi"/>
          <w:sz w:val="22"/>
          <w:szCs w:val="22"/>
        </w:rPr>
        <w:t>:</w:t>
      </w:r>
      <w:r w:rsidRPr="00ED5F1A">
        <w:rPr>
          <w:rFonts w:asciiTheme="majorHAnsi" w:hAnsiTheme="majorHAnsi"/>
          <w:sz w:val="22"/>
          <w:szCs w:val="22"/>
        </w:rPr>
        <w:t xml:space="preserve"> Deixar para "decidir depois" como um sócio sai ou como sua participação será avaliada é a receita para o desastre. A falta de regras claras pode levar a uma disputa judicial que paralisa a empresa e destrói valor. As fórmulas e procedimentos devem estar cravados no Acordo de Sócios desde o primeiro dia.</w:t>
      </w:r>
    </w:p>
    <w:p w14:paraId="043E64A9"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t>Consequências da Inadimplência:</w:t>
      </w:r>
      <w:r w:rsidRPr="00ED5F1A">
        <w:rPr>
          <w:rFonts w:asciiTheme="majorHAnsi" w:hAnsiTheme="majorHAnsi"/>
          <w:sz w:val="22"/>
          <w:szCs w:val="22"/>
        </w:rPr>
        <w:t xml:space="preserve"> Não pode haver qualquer dúvida sobre o que acontece com um sócio que não aporta capital. As consequências (multa, diluição, exclusão) devem ser automáticas e autoaplicáveis, sem a necessidade de novas deliberações. A solvência da companhia depende disso.</w:t>
      </w:r>
    </w:p>
    <w:p w14:paraId="68A84B0F"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t>Mecanismos de Desempate:</w:t>
      </w:r>
      <w:r w:rsidRPr="00ED5F1A">
        <w:rPr>
          <w:rFonts w:asciiTheme="majorHAnsi" w:hAnsiTheme="majorHAnsi"/>
          <w:sz w:val="22"/>
          <w:szCs w:val="22"/>
        </w:rPr>
        <w:t xml:space="preserve"> Em uma sociedade de sócios igualitários, o deadlock não é uma possibilidade, é uma certeza. É imperativo que existam mecanismos de desempate (voto de minerva, mediação, arbitragem) claros e obrigatórios para garantir a continuidade da gestão.</w:t>
      </w:r>
    </w:p>
    <w:p w14:paraId="1B5469F9"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t>Poderes da Gestão Executiva:</w:t>
      </w:r>
      <w:r w:rsidRPr="00ED5F1A">
        <w:rPr>
          <w:rFonts w:asciiTheme="majorHAnsi" w:hAnsiTheme="majorHAnsi"/>
          <w:sz w:val="22"/>
          <w:szCs w:val="22"/>
        </w:rPr>
        <w:t xml:space="preserve"> O Acordo deve dar autonomia e poder à diretoria executiva para tocar o dia a dia da operação, sem que cada decisão precise ser submetida ao crivo dos sócios. A governança deve ser clara, separando o papel do acionista, do conselheiro e do gestor.</w:t>
      </w:r>
    </w:p>
    <w:p w14:paraId="10724209"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t>Responsabilidade Regulatória:</w:t>
      </w:r>
      <w:r w:rsidRPr="00ED5F1A">
        <w:rPr>
          <w:rFonts w:asciiTheme="majorHAnsi" w:hAnsiTheme="majorHAnsi"/>
          <w:sz w:val="22"/>
          <w:szCs w:val="22"/>
        </w:rPr>
        <w:t xml:space="preserve"> A responsabilidade de cada administrador perante a SUSEP e as consequências de uma falha de conduta devem ser explícitas. A proteção da autorização para funcionar é o ativo mais importante da companhia e não pode estar sujeita a interpretações.</w:t>
      </w:r>
    </w:p>
    <w:p w14:paraId="0A5C1F2D" w14:textId="77777777" w:rsidR="00626463" w:rsidRPr="00ED5F1A" w:rsidRDefault="00626463" w:rsidP="00ED5F1A">
      <w:pPr>
        <w:pStyle w:val="MdSpace"/>
        <w:spacing w:after="60"/>
        <w:jc w:val="both"/>
        <w:rPr>
          <w:rFonts w:asciiTheme="majorHAnsi" w:hAnsiTheme="majorHAnsi"/>
          <w:sz w:val="22"/>
          <w:szCs w:val="22"/>
        </w:rPr>
      </w:pPr>
    </w:p>
    <w:p w14:paraId="0B24B4E7" w14:textId="77777777" w:rsidR="00626463" w:rsidRPr="00ED5F1A" w:rsidRDefault="00000000" w:rsidP="00ED5F1A">
      <w:pPr>
        <w:pStyle w:val="MdHeading2"/>
        <w:jc w:val="both"/>
        <w:rPr>
          <w:rFonts w:asciiTheme="majorHAnsi" w:hAnsiTheme="majorHAnsi"/>
          <w:sz w:val="22"/>
          <w:szCs w:val="22"/>
        </w:rPr>
      </w:pPr>
      <w:r w:rsidRPr="00ED5F1A">
        <w:rPr>
          <w:rFonts w:asciiTheme="majorHAnsi" w:hAnsiTheme="majorHAnsi"/>
          <w:sz w:val="22"/>
          <w:szCs w:val="22"/>
        </w:rPr>
        <w:t>Bloco 8: Captação de Recursos via Investidores Externos (Não Sócios)</w:t>
      </w:r>
    </w:p>
    <w:p w14:paraId="1A3CB433" w14:textId="77777777" w:rsidR="00626463" w:rsidRPr="00ED5F1A" w:rsidRDefault="00000000" w:rsidP="00ED5F1A">
      <w:pPr>
        <w:pStyle w:val="MdParagraph"/>
        <w:jc w:val="both"/>
        <w:rPr>
          <w:rFonts w:asciiTheme="majorHAnsi" w:hAnsiTheme="majorHAnsi"/>
          <w:sz w:val="22"/>
          <w:szCs w:val="22"/>
        </w:rPr>
      </w:pPr>
      <w:r w:rsidRPr="00ED5F1A">
        <w:rPr>
          <w:rFonts w:asciiTheme="majorHAnsi" w:hAnsiTheme="majorHAnsi"/>
          <w:sz w:val="22"/>
          <w:szCs w:val="22"/>
        </w:rPr>
        <w:t>Este bloco aborda a possibilidade de captar recursos de investidores que não ingressarão no quadro societário, detalhando as regras, os instrumentos e a governança para essa modalidade de financiamento, em linha com as melhores práticas de mercado e a regulamentação aplicável.</w:t>
      </w:r>
    </w:p>
    <w:p w14:paraId="25D9B76F" w14:textId="77777777" w:rsidR="00626463" w:rsidRPr="00ED5F1A" w:rsidRDefault="00626463" w:rsidP="00ED5F1A">
      <w:pPr>
        <w:pStyle w:val="MdSpace"/>
        <w:spacing w:after="60"/>
        <w:jc w:val="both"/>
        <w:rPr>
          <w:rFonts w:asciiTheme="majorHAnsi" w:hAnsiTheme="majorHAnsi"/>
          <w:sz w:val="22"/>
          <w:szCs w:val="22"/>
        </w:rPr>
      </w:pPr>
    </w:p>
    <w:p w14:paraId="2C5EEBED"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t>Momento e Gatilhos para a Captação:</w:t>
      </w:r>
      <w:r w:rsidRPr="00ED5F1A">
        <w:rPr>
          <w:rFonts w:asciiTheme="majorHAnsi" w:hAnsiTheme="majorHAnsi"/>
          <w:sz w:val="22"/>
          <w:szCs w:val="22"/>
        </w:rPr>
        <w:t xml:space="preserve"> Em que estágio de maturidade da companhia (e.g., após atingir o </w:t>
      </w:r>
      <w:proofErr w:type="spellStart"/>
      <w:r w:rsidRPr="00ED5F1A">
        <w:rPr>
          <w:rFonts w:asciiTheme="majorHAnsi" w:hAnsiTheme="majorHAnsi"/>
          <w:sz w:val="22"/>
          <w:szCs w:val="22"/>
        </w:rPr>
        <w:t>breakeven</w:t>
      </w:r>
      <w:proofErr w:type="spellEnd"/>
      <w:r w:rsidRPr="00ED5F1A">
        <w:rPr>
          <w:rFonts w:asciiTheme="majorHAnsi" w:hAnsiTheme="majorHAnsi"/>
          <w:sz w:val="22"/>
          <w:szCs w:val="22"/>
        </w:rPr>
        <w:t>, após X anos de operação, para financiar um plano de expansão específico) será permitido o chamamento de investidores externos? A decisão de buscar esse tipo de investimento exigirá aprovação unânime dos sócios?</w:t>
      </w:r>
    </w:p>
    <w:p w14:paraId="508DAB54"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t>Instrumentos de Investimento:</w:t>
      </w:r>
      <w:r w:rsidRPr="00ED5F1A">
        <w:rPr>
          <w:rFonts w:asciiTheme="majorHAnsi" w:hAnsiTheme="majorHAnsi"/>
          <w:sz w:val="22"/>
          <w:szCs w:val="22"/>
        </w:rPr>
        <w:t xml:space="preserve"> Qual será o instrumento jurídico utilizado para formalizar o investimento? A sociedade se limitará a um tipo específico ou poderá utilizar diferentes modelos conforme a necessidade?</w:t>
      </w:r>
    </w:p>
    <w:p w14:paraId="65F29340" w14:textId="77777777" w:rsidR="00626463" w:rsidRPr="00ED5F1A" w:rsidRDefault="00000000" w:rsidP="00ED5F1A">
      <w:pPr>
        <w:pStyle w:val="MdListItem"/>
        <w:numPr>
          <w:ilvl w:val="1"/>
          <w:numId w:val="3"/>
        </w:numPr>
        <w:jc w:val="both"/>
        <w:rPr>
          <w:rFonts w:asciiTheme="majorHAnsi" w:hAnsiTheme="majorHAnsi"/>
          <w:sz w:val="22"/>
          <w:szCs w:val="22"/>
        </w:rPr>
      </w:pPr>
      <w:r w:rsidRPr="00ED5F1A">
        <w:rPr>
          <w:rStyle w:val="MdStrong"/>
          <w:rFonts w:asciiTheme="majorHAnsi" w:hAnsiTheme="majorHAnsi"/>
          <w:sz w:val="22"/>
          <w:szCs w:val="22"/>
        </w:rPr>
        <w:t>Contrato de Participação (Investidor-Anjo):</w:t>
      </w:r>
      <w:r w:rsidRPr="00ED5F1A">
        <w:rPr>
          <w:rFonts w:asciiTheme="majorHAnsi" w:hAnsiTheme="majorHAnsi"/>
          <w:sz w:val="22"/>
          <w:szCs w:val="22"/>
        </w:rPr>
        <w:t xml:space="preserve"> Utilizado para aportes de capital com remuneração atrelada aos resultados, sem que o investidor se torne sócio, nos termos da LC 155/2016.</w:t>
      </w:r>
    </w:p>
    <w:p w14:paraId="2607E102" w14:textId="77777777" w:rsidR="00626463" w:rsidRPr="00ED5F1A" w:rsidRDefault="00000000" w:rsidP="00ED5F1A">
      <w:pPr>
        <w:pStyle w:val="MdListItem"/>
        <w:numPr>
          <w:ilvl w:val="1"/>
          <w:numId w:val="3"/>
        </w:numPr>
        <w:jc w:val="both"/>
        <w:rPr>
          <w:rFonts w:asciiTheme="majorHAnsi" w:hAnsiTheme="majorHAnsi"/>
          <w:sz w:val="22"/>
          <w:szCs w:val="22"/>
        </w:rPr>
      </w:pPr>
      <w:r w:rsidRPr="00ED5F1A">
        <w:rPr>
          <w:rStyle w:val="MdStrong"/>
          <w:rFonts w:asciiTheme="majorHAnsi" w:hAnsiTheme="majorHAnsi"/>
          <w:sz w:val="22"/>
          <w:szCs w:val="22"/>
        </w:rPr>
        <w:t>Sociedade em Conta de Participação (SCP):</w:t>
      </w:r>
      <w:r w:rsidRPr="00ED5F1A">
        <w:rPr>
          <w:rFonts w:asciiTheme="majorHAnsi" w:hAnsiTheme="majorHAnsi"/>
          <w:sz w:val="22"/>
          <w:szCs w:val="22"/>
        </w:rPr>
        <w:t xml:space="preserve"> Estrutura na qual a empresa atua como sócia ostensiva e o investidor como sócio participante (oculto), com participação nos lucros definida em contrato.</w:t>
      </w:r>
    </w:p>
    <w:p w14:paraId="174FCCA4" w14:textId="77777777" w:rsidR="00626463" w:rsidRPr="00ED5F1A" w:rsidRDefault="00000000" w:rsidP="00ED5F1A">
      <w:pPr>
        <w:pStyle w:val="MdListItem"/>
        <w:numPr>
          <w:ilvl w:val="1"/>
          <w:numId w:val="3"/>
        </w:numPr>
        <w:jc w:val="both"/>
        <w:rPr>
          <w:rFonts w:asciiTheme="majorHAnsi" w:hAnsiTheme="majorHAnsi"/>
          <w:sz w:val="22"/>
          <w:szCs w:val="22"/>
        </w:rPr>
      </w:pPr>
      <w:r w:rsidRPr="00ED5F1A">
        <w:rPr>
          <w:rStyle w:val="MdStrong"/>
          <w:rFonts w:asciiTheme="majorHAnsi" w:hAnsiTheme="majorHAnsi"/>
          <w:sz w:val="22"/>
          <w:szCs w:val="22"/>
        </w:rPr>
        <w:t>Debêntures Simples ou Notas Comerciais:</w:t>
      </w:r>
      <w:r w:rsidRPr="00ED5F1A">
        <w:rPr>
          <w:rFonts w:asciiTheme="majorHAnsi" w:hAnsiTheme="majorHAnsi"/>
          <w:sz w:val="22"/>
          <w:szCs w:val="22"/>
        </w:rPr>
        <w:t xml:space="preserve"> Emissão de títulos de dívida pela S.A. (Seguradora), com remuneração que pode ser atrelada a metas de performance ou resultados (</w:t>
      </w:r>
      <w:proofErr w:type="spellStart"/>
      <w:r w:rsidRPr="00ED5F1A">
        <w:rPr>
          <w:rFonts w:asciiTheme="majorHAnsi" w:hAnsiTheme="majorHAnsi"/>
          <w:sz w:val="22"/>
          <w:szCs w:val="22"/>
        </w:rPr>
        <w:t>profit</w:t>
      </w:r>
      <w:proofErr w:type="spellEnd"/>
      <w:r w:rsidRPr="00ED5F1A">
        <w:rPr>
          <w:rFonts w:asciiTheme="majorHAnsi" w:hAnsiTheme="majorHAnsi"/>
          <w:sz w:val="22"/>
          <w:szCs w:val="22"/>
        </w:rPr>
        <w:t xml:space="preserve"> </w:t>
      </w:r>
      <w:proofErr w:type="spellStart"/>
      <w:r w:rsidRPr="00ED5F1A">
        <w:rPr>
          <w:rFonts w:asciiTheme="majorHAnsi" w:hAnsiTheme="majorHAnsi"/>
          <w:sz w:val="22"/>
          <w:szCs w:val="22"/>
        </w:rPr>
        <w:t>sharing</w:t>
      </w:r>
      <w:proofErr w:type="spellEnd"/>
      <w:r w:rsidRPr="00ED5F1A">
        <w:rPr>
          <w:rFonts w:asciiTheme="majorHAnsi" w:hAnsiTheme="majorHAnsi"/>
          <w:sz w:val="22"/>
          <w:szCs w:val="22"/>
        </w:rPr>
        <w:t>), sem direito à conversão em ações.</w:t>
      </w:r>
    </w:p>
    <w:p w14:paraId="6B6A6AEB" w14:textId="77777777" w:rsidR="00626463" w:rsidRPr="00ED5F1A" w:rsidRDefault="00000000" w:rsidP="00ED5F1A">
      <w:pPr>
        <w:pStyle w:val="MdListItem"/>
        <w:numPr>
          <w:ilvl w:val="1"/>
          <w:numId w:val="3"/>
        </w:numPr>
        <w:jc w:val="both"/>
        <w:rPr>
          <w:rFonts w:asciiTheme="majorHAnsi" w:hAnsiTheme="majorHAnsi"/>
          <w:sz w:val="22"/>
          <w:szCs w:val="22"/>
        </w:rPr>
      </w:pPr>
      <w:r w:rsidRPr="00ED5F1A">
        <w:rPr>
          <w:rStyle w:val="MdStrong"/>
          <w:rFonts w:asciiTheme="majorHAnsi" w:hAnsiTheme="majorHAnsi"/>
          <w:sz w:val="22"/>
          <w:szCs w:val="22"/>
        </w:rPr>
        <w:t>Mútuo Conversível em Participação nos Resultados:</w:t>
      </w:r>
      <w:r w:rsidRPr="00ED5F1A">
        <w:rPr>
          <w:rFonts w:asciiTheme="majorHAnsi" w:hAnsiTheme="majorHAnsi"/>
          <w:sz w:val="22"/>
          <w:szCs w:val="22"/>
        </w:rPr>
        <w:t xml:space="preserve"> Contrato de empréstimo que, em vez de ser convertido em ações, pode ser convertido em um direito de participação nos lucros futuros da companhia.</w:t>
      </w:r>
    </w:p>
    <w:p w14:paraId="6C94B42D"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t>Critérios e Análise do Investidor (</w:t>
      </w:r>
      <w:proofErr w:type="spellStart"/>
      <w:r w:rsidRPr="00ED5F1A">
        <w:rPr>
          <w:rStyle w:val="MdStrong"/>
          <w:rFonts w:asciiTheme="majorHAnsi" w:hAnsiTheme="majorHAnsi"/>
          <w:sz w:val="22"/>
          <w:szCs w:val="22"/>
        </w:rPr>
        <w:t>Due</w:t>
      </w:r>
      <w:proofErr w:type="spellEnd"/>
      <w:r w:rsidRPr="00ED5F1A">
        <w:rPr>
          <w:rStyle w:val="MdStrong"/>
          <w:rFonts w:asciiTheme="majorHAnsi" w:hAnsiTheme="majorHAnsi"/>
          <w:sz w:val="22"/>
          <w:szCs w:val="22"/>
        </w:rPr>
        <w:t xml:space="preserve"> </w:t>
      </w:r>
      <w:proofErr w:type="spellStart"/>
      <w:r w:rsidRPr="00ED5F1A">
        <w:rPr>
          <w:rStyle w:val="MdStrong"/>
          <w:rFonts w:asciiTheme="majorHAnsi" w:hAnsiTheme="majorHAnsi"/>
          <w:sz w:val="22"/>
          <w:szCs w:val="22"/>
        </w:rPr>
        <w:t>Diligence</w:t>
      </w:r>
      <w:proofErr w:type="spellEnd"/>
      <w:r w:rsidRPr="00ED5F1A">
        <w:rPr>
          <w:rStyle w:val="MdStrong"/>
          <w:rFonts w:asciiTheme="majorHAnsi" w:hAnsiTheme="majorHAnsi"/>
          <w:sz w:val="22"/>
          <w:szCs w:val="22"/>
        </w:rPr>
        <w:t>):</w:t>
      </w:r>
      <w:r w:rsidRPr="00ED5F1A">
        <w:rPr>
          <w:rFonts w:asciiTheme="majorHAnsi" w:hAnsiTheme="majorHAnsi"/>
          <w:sz w:val="22"/>
          <w:szCs w:val="22"/>
        </w:rPr>
        <w:t xml:space="preserve"> Qual será o processo de análise e aceitação de um investidor externo? A análise incluirá, no mínimo:</w:t>
      </w:r>
    </w:p>
    <w:p w14:paraId="1FD11776" w14:textId="77777777" w:rsidR="00626463" w:rsidRPr="00ED5F1A" w:rsidRDefault="00000000" w:rsidP="00ED5F1A">
      <w:pPr>
        <w:pStyle w:val="MdListItem"/>
        <w:numPr>
          <w:ilvl w:val="1"/>
          <w:numId w:val="3"/>
        </w:numPr>
        <w:jc w:val="both"/>
        <w:rPr>
          <w:rFonts w:asciiTheme="majorHAnsi" w:hAnsiTheme="majorHAnsi"/>
          <w:sz w:val="22"/>
          <w:szCs w:val="22"/>
        </w:rPr>
      </w:pPr>
      <w:r w:rsidRPr="00ED5F1A">
        <w:rPr>
          <w:rStyle w:val="MdStrong"/>
          <w:rFonts w:asciiTheme="majorHAnsi" w:hAnsiTheme="majorHAnsi"/>
          <w:sz w:val="22"/>
          <w:szCs w:val="22"/>
        </w:rPr>
        <w:t>Origem dos Recursos:</w:t>
      </w:r>
      <w:r w:rsidRPr="00ED5F1A">
        <w:rPr>
          <w:rFonts w:asciiTheme="majorHAnsi" w:hAnsiTheme="majorHAnsi"/>
          <w:sz w:val="22"/>
          <w:szCs w:val="22"/>
        </w:rPr>
        <w:t xml:space="preserve"> Verificação rigorosa da origem lícita dos fundos, em conformidade com as políticas de Prevenção à Lavagem de Dinheiro (PLD-FT).</w:t>
      </w:r>
    </w:p>
    <w:p w14:paraId="337DE01C" w14:textId="77777777" w:rsidR="00626463" w:rsidRPr="00ED5F1A" w:rsidRDefault="00000000" w:rsidP="00ED5F1A">
      <w:pPr>
        <w:pStyle w:val="MdListItem"/>
        <w:numPr>
          <w:ilvl w:val="1"/>
          <w:numId w:val="3"/>
        </w:numPr>
        <w:jc w:val="both"/>
        <w:rPr>
          <w:rFonts w:asciiTheme="majorHAnsi" w:hAnsiTheme="majorHAnsi"/>
          <w:sz w:val="22"/>
          <w:szCs w:val="22"/>
        </w:rPr>
      </w:pPr>
      <w:r w:rsidRPr="00ED5F1A">
        <w:rPr>
          <w:rStyle w:val="MdStrong"/>
          <w:rFonts w:asciiTheme="majorHAnsi" w:hAnsiTheme="majorHAnsi"/>
          <w:sz w:val="22"/>
          <w:szCs w:val="22"/>
        </w:rPr>
        <w:t>Idoneidade Reputacional:</w:t>
      </w:r>
      <w:r w:rsidRPr="00ED5F1A">
        <w:rPr>
          <w:rFonts w:asciiTheme="majorHAnsi" w:hAnsiTheme="majorHAnsi"/>
          <w:sz w:val="22"/>
          <w:szCs w:val="22"/>
        </w:rPr>
        <w:t xml:space="preserve"> Análise de antecedentes criminais, processos judiciais e administrativos, e reputação no mercado.</w:t>
      </w:r>
    </w:p>
    <w:p w14:paraId="7F0B6EA1" w14:textId="77777777" w:rsidR="00626463" w:rsidRPr="00ED5F1A" w:rsidRDefault="00000000" w:rsidP="00ED5F1A">
      <w:pPr>
        <w:pStyle w:val="MdListItem"/>
        <w:numPr>
          <w:ilvl w:val="1"/>
          <w:numId w:val="3"/>
        </w:numPr>
        <w:jc w:val="both"/>
        <w:rPr>
          <w:rFonts w:asciiTheme="majorHAnsi" w:hAnsiTheme="majorHAnsi"/>
          <w:sz w:val="22"/>
          <w:szCs w:val="22"/>
        </w:rPr>
      </w:pPr>
      <w:r w:rsidRPr="00ED5F1A">
        <w:rPr>
          <w:rStyle w:val="MdStrong"/>
          <w:rFonts w:asciiTheme="majorHAnsi" w:hAnsiTheme="majorHAnsi"/>
          <w:sz w:val="22"/>
          <w:szCs w:val="22"/>
        </w:rPr>
        <w:t>Conflito de Interesses:</w:t>
      </w:r>
      <w:r w:rsidRPr="00ED5F1A">
        <w:rPr>
          <w:rFonts w:asciiTheme="majorHAnsi" w:hAnsiTheme="majorHAnsi"/>
          <w:sz w:val="22"/>
          <w:szCs w:val="22"/>
        </w:rPr>
        <w:t xml:space="preserve"> Verificação de qualquer participação ou interesse do potencial investidor em negócios concorrentes ou que possam gerar conflito com os objetivos da companhia.</w:t>
      </w:r>
    </w:p>
    <w:p w14:paraId="74A01C3B" w14:textId="77777777" w:rsidR="00626463" w:rsidRPr="00ED5F1A" w:rsidRDefault="00000000" w:rsidP="00ED5F1A">
      <w:pPr>
        <w:pStyle w:val="MdListItem"/>
        <w:numPr>
          <w:ilvl w:val="1"/>
          <w:numId w:val="3"/>
        </w:numPr>
        <w:jc w:val="both"/>
        <w:rPr>
          <w:rFonts w:asciiTheme="majorHAnsi" w:hAnsiTheme="majorHAnsi"/>
          <w:sz w:val="22"/>
          <w:szCs w:val="22"/>
        </w:rPr>
      </w:pPr>
      <w:r w:rsidRPr="00ED5F1A">
        <w:rPr>
          <w:rStyle w:val="MdStrong"/>
          <w:rFonts w:asciiTheme="majorHAnsi" w:hAnsiTheme="majorHAnsi"/>
          <w:sz w:val="22"/>
          <w:szCs w:val="22"/>
        </w:rPr>
        <w:lastRenderedPageBreak/>
        <w:t>Capacidade Financeira:</w:t>
      </w:r>
      <w:r w:rsidRPr="00ED5F1A">
        <w:rPr>
          <w:rFonts w:asciiTheme="majorHAnsi" w:hAnsiTheme="majorHAnsi"/>
          <w:sz w:val="22"/>
          <w:szCs w:val="22"/>
        </w:rPr>
        <w:t xml:space="preserve"> Comprovação de patrimônio e capacidade financeira para realizar o investimento sem comprometer sua própria estabilidade.</w:t>
      </w:r>
    </w:p>
    <w:p w14:paraId="3D680C7A"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t>Direitos e Vedações do Investidor:</w:t>
      </w:r>
      <w:r w:rsidRPr="00ED5F1A">
        <w:rPr>
          <w:rFonts w:asciiTheme="majorHAnsi" w:hAnsiTheme="majorHAnsi"/>
          <w:sz w:val="22"/>
          <w:szCs w:val="22"/>
        </w:rPr>
        <w:t xml:space="preserve"> O contrato de investimento deixará explícito que o investidor:</w:t>
      </w:r>
    </w:p>
    <w:p w14:paraId="5BB386B3" w14:textId="77777777" w:rsidR="00626463" w:rsidRPr="00ED5F1A" w:rsidRDefault="00000000" w:rsidP="00ED5F1A">
      <w:pPr>
        <w:pStyle w:val="MdListItem"/>
        <w:numPr>
          <w:ilvl w:val="1"/>
          <w:numId w:val="3"/>
        </w:numPr>
        <w:jc w:val="both"/>
        <w:rPr>
          <w:rFonts w:asciiTheme="majorHAnsi" w:hAnsiTheme="majorHAnsi"/>
          <w:sz w:val="22"/>
          <w:szCs w:val="22"/>
        </w:rPr>
      </w:pPr>
      <w:r w:rsidRPr="00ED5F1A">
        <w:rPr>
          <w:rStyle w:val="MdStrong"/>
          <w:rFonts w:asciiTheme="majorHAnsi" w:hAnsiTheme="majorHAnsi"/>
          <w:sz w:val="22"/>
          <w:szCs w:val="22"/>
        </w:rPr>
        <w:t>Não terá direito a voto</w:t>
      </w:r>
      <w:r w:rsidRPr="00ED5F1A">
        <w:rPr>
          <w:rFonts w:asciiTheme="majorHAnsi" w:hAnsiTheme="majorHAnsi"/>
          <w:sz w:val="22"/>
          <w:szCs w:val="22"/>
        </w:rPr>
        <w:t xml:space="preserve"> nem qualquer poder de ingerência na administração da companhia.</w:t>
      </w:r>
    </w:p>
    <w:p w14:paraId="11436DD4" w14:textId="77777777" w:rsidR="00626463" w:rsidRPr="00ED5F1A" w:rsidRDefault="00000000" w:rsidP="00ED5F1A">
      <w:pPr>
        <w:pStyle w:val="MdListItem"/>
        <w:numPr>
          <w:ilvl w:val="1"/>
          <w:numId w:val="3"/>
        </w:numPr>
        <w:jc w:val="both"/>
        <w:rPr>
          <w:rFonts w:asciiTheme="majorHAnsi" w:hAnsiTheme="majorHAnsi"/>
          <w:sz w:val="22"/>
          <w:szCs w:val="22"/>
        </w:rPr>
      </w:pPr>
      <w:r w:rsidRPr="00ED5F1A">
        <w:rPr>
          <w:rStyle w:val="MdStrong"/>
          <w:rFonts w:asciiTheme="majorHAnsi" w:hAnsiTheme="majorHAnsi"/>
          <w:sz w:val="22"/>
          <w:szCs w:val="22"/>
        </w:rPr>
        <w:t>Não será considerado sócio</w:t>
      </w:r>
      <w:r w:rsidRPr="00ED5F1A">
        <w:rPr>
          <w:rFonts w:asciiTheme="majorHAnsi" w:hAnsiTheme="majorHAnsi"/>
          <w:sz w:val="22"/>
          <w:szCs w:val="22"/>
        </w:rPr>
        <w:t xml:space="preserve"> para nenhum fim de direito e não responderá por quaisquer dívidas ou obrigações da sociedade.</w:t>
      </w:r>
    </w:p>
    <w:p w14:paraId="62D90799" w14:textId="77777777" w:rsidR="00626463" w:rsidRPr="00ED5F1A" w:rsidRDefault="00000000" w:rsidP="00ED5F1A">
      <w:pPr>
        <w:pStyle w:val="MdListItem"/>
        <w:numPr>
          <w:ilvl w:val="1"/>
          <w:numId w:val="3"/>
        </w:numPr>
        <w:jc w:val="both"/>
        <w:rPr>
          <w:rFonts w:asciiTheme="majorHAnsi" w:hAnsiTheme="majorHAnsi"/>
          <w:sz w:val="22"/>
          <w:szCs w:val="22"/>
        </w:rPr>
      </w:pPr>
      <w:r w:rsidRPr="00ED5F1A">
        <w:rPr>
          <w:rFonts w:asciiTheme="majorHAnsi" w:hAnsiTheme="majorHAnsi"/>
          <w:sz w:val="22"/>
          <w:szCs w:val="22"/>
        </w:rPr>
        <w:t>Terá direito a receber informações financeiras periódicas (reportes trimestrais/anuais) para acompanhar a performance do seu investimento.</w:t>
      </w:r>
    </w:p>
    <w:p w14:paraId="3B057184" w14:textId="77777777" w:rsidR="00626463" w:rsidRPr="00ED5F1A" w:rsidRDefault="00000000" w:rsidP="00ED5F1A">
      <w:pPr>
        <w:pStyle w:val="MdListItem"/>
        <w:numPr>
          <w:ilvl w:val="1"/>
          <w:numId w:val="3"/>
        </w:numPr>
        <w:jc w:val="both"/>
        <w:rPr>
          <w:rFonts w:asciiTheme="majorHAnsi" w:hAnsiTheme="majorHAnsi"/>
          <w:sz w:val="22"/>
          <w:szCs w:val="22"/>
        </w:rPr>
      </w:pPr>
      <w:r w:rsidRPr="00ED5F1A">
        <w:rPr>
          <w:rFonts w:asciiTheme="majorHAnsi" w:hAnsiTheme="majorHAnsi"/>
          <w:sz w:val="22"/>
          <w:szCs w:val="22"/>
        </w:rPr>
        <w:t>Estará sujeito a um rigoroso dever de confidencialidade sobre todas as informações da companhia a que tiver acesso.</w:t>
      </w:r>
    </w:p>
    <w:p w14:paraId="5AE0B53C"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t>Estrutura de Rentabilidade:</w:t>
      </w:r>
      <w:r w:rsidRPr="00ED5F1A">
        <w:rPr>
          <w:rFonts w:asciiTheme="majorHAnsi" w:hAnsiTheme="majorHAnsi"/>
          <w:sz w:val="22"/>
          <w:szCs w:val="22"/>
        </w:rPr>
        <w:t xml:space="preserve"> Como será calculada a rentabilidade do investidor? Será um percentual fixo sobre o lucro líquido? Uma participação na receita bruta? Haverá um teto (cap) e um piso para a remuneração anual?</w:t>
      </w:r>
    </w:p>
    <w:p w14:paraId="7995A84B"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t>Opções e Regras de Saída (Exit):</w:t>
      </w:r>
      <w:r w:rsidRPr="00ED5F1A">
        <w:rPr>
          <w:rFonts w:asciiTheme="majorHAnsi" w:hAnsiTheme="majorHAnsi"/>
          <w:sz w:val="22"/>
          <w:szCs w:val="22"/>
        </w:rPr>
        <w:t xml:space="preserve"> O contrato preverá com clareza as opções de saída do investidor, incluindo:</w:t>
      </w:r>
    </w:p>
    <w:p w14:paraId="7D663BDB" w14:textId="77777777" w:rsidR="00626463" w:rsidRPr="00ED5F1A" w:rsidRDefault="00000000" w:rsidP="00ED5F1A">
      <w:pPr>
        <w:pStyle w:val="MdListItem"/>
        <w:numPr>
          <w:ilvl w:val="1"/>
          <w:numId w:val="3"/>
        </w:numPr>
        <w:jc w:val="both"/>
        <w:rPr>
          <w:rFonts w:asciiTheme="majorHAnsi" w:hAnsiTheme="majorHAnsi"/>
          <w:sz w:val="22"/>
          <w:szCs w:val="22"/>
        </w:rPr>
      </w:pPr>
      <w:r w:rsidRPr="00ED5F1A">
        <w:rPr>
          <w:rStyle w:val="MdStrong"/>
          <w:rFonts w:asciiTheme="majorHAnsi" w:hAnsiTheme="majorHAnsi"/>
          <w:sz w:val="22"/>
          <w:szCs w:val="22"/>
        </w:rPr>
        <w:t>Prazo de Resgate:</w:t>
      </w:r>
      <w:r w:rsidRPr="00ED5F1A">
        <w:rPr>
          <w:rFonts w:asciiTheme="majorHAnsi" w:hAnsiTheme="majorHAnsi"/>
          <w:sz w:val="22"/>
          <w:szCs w:val="22"/>
        </w:rPr>
        <w:t xml:space="preserve"> Um prazo mínimo de investimento (e.g., 3 a 5 anos) e um prazo máximo para o desinvestimento (e.g., 7 a 10 anos).</w:t>
      </w:r>
    </w:p>
    <w:p w14:paraId="56132F14" w14:textId="77777777" w:rsidR="00626463" w:rsidRPr="00ED5F1A" w:rsidRDefault="00000000" w:rsidP="00ED5F1A">
      <w:pPr>
        <w:pStyle w:val="MdListItem"/>
        <w:numPr>
          <w:ilvl w:val="1"/>
          <w:numId w:val="3"/>
        </w:numPr>
        <w:jc w:val="both"/>
        <w:rPr>
          <w:rFonts w:asciiTheme="majorHAnsi" w:hAnsiTheme="majorHAnsi"/>
          <w:sz w:val="22"/>
          <w:szCs w:val="22"/>
        </w:rPr>
      </w:pPr>
      <w:r w:rsidRPr="00ED5F1A">
        <w:rPr>
          <w:rStyle w:val="MdStrong"/>
          <w:rFonts w:asciiTheme="majorHAnsi" w:hAnsiTheme="majorHAnsi"/>
          <w:sz w:val="22"/>
          <w:szCs w:val="22"/>
        </w:rPr>
        <w:t>Janelas de Liquidez:</w:t>
      </w:r>
      <w:r w:rsidRPr="00ED5F1A">
        <w:rPr>
          <w:rFonts w:asciiTheme="majorHAnsi" w:hAnsiTheme="majorHAnsi"/>
          <w:sz w:val="22"/>
          <w:szCs w:val="22"/>
        </w:rPr>
        <w:t xml:space="preserve"> Serão definidas janelas de oportunidade específicas (e.g., anualmente, após a divulgação do balanço) para o investidor solicitar o resgate?</w:t>
      </w:r>
    </w:p>
    <w:p w14:paraId="3901E91C" w14:textId="77777777" w:rsidR="00626463" w:rsidRPr="00ED5F1A" w:rsidRDefault="00000000" w:rsidP="00ED5F1A">
      <w:pPr>
        <w:pStyle w:val="MdListItem"/>
        <w:numPr>
          <w:ilvl w:val="1"/>
          <w:numId w:val="3"/>
        </w:numPr>
        <w:jc w:val="both"/>
        <w:rPr>
          <w:rFonts w:asciiTheme="majorHAnsi" w:hAnsiTheme="majorHAnsi"/>
          <w:sz w:val="22"/>
          <w:szCs w:val="22"/>
        </w:rPr>
      </w:pPr>
      <w:r w:rsidRPr="00ED5F1A">
        <w:rPr>
          <w:rStyle w:val="MdStrong"/>
          <w:rFonts w:asciiTheme="majorHAnsi" w:hAnsiTheme="majorHAnsi"/>
          <w:sz w:val="22"/>
          <w:szCs w:val="22"/>
        </w:rPr>
        <w:t>Forma de Pagamento:</w:t>
      </w:r>
      <w:r w:rsidRPr="00ED5F1A">
        <w:rPr>
          <w:rFonts w:asciiTheme="majorHAnsi" w:hAnsiTheme="majorHAnsi"/>
          <w:sz w:val="22"/>
          <w:szCs w:val="22"/>
        </w:rPr>
        <w:t xml:space="preserve"> O valor do resgate será pago à vista ou de forma parcelada (e.g., em 12 a 24 meses) para proteger o caixa da companhia?</w:t>
      </w:r>
    </w:p>
    <w:p w14:paraId="19589EA8" w14:textId="77777777" w:rsidR="00626463" w:rsidRPr="00ED5F1A" w:rsidRDefault="00000000" w:rsidP="00ED5F1A">
      <w:pPr>
        <w:pStyle w:val="MdListItem"/>
        <w:numPr>
          <w:ilvl w:val="1"/>
          <w:numId w:val="3"/>
        </w:numPr>
        <w:jc w:val="both"/>
        <w:rPr>
          <w:rFonts w:asciiTheme="majorHAnsi" w:hAnsiTheme="majorHAnsi"/>
          <w:sz w:val="22"/>
          <w:szCs w:val="22"/>
        </w:rPr>
      </w:pPr>
      <w:r w:rsidRPr="00ED5F1A">
        <w:rPr>
          <w:rStyle w:val="MdStrong"/>
          <w:rFonts w:asciiTheme="majorHAnsi" w:hAnsiTheme="majorHAnsi"/>
          <w:sz w:val="22"/>
          <w:szCs w:val="22"/>
        </w:rPr>
        <w:t>Cessão do Investimento:</w:t>
      </w:r>
      <w:r w:rsidRPr="00ED5F1A">
        <w:rPr>
          <w:rFonts w:asciiTheme="majorHAnsi" w:hAnsiTheme="majorHAnsi"/>
          <w:sz w:val="22"/>
          <w:szCs w:val="22"/>
        </w:rPr>
        <w:t xml:space="preserve"> O investidor poderá ceder seu contrato a terceiros? A companhia e os sócios fundadores terão direito de preferência na aquisição?</w:t>
      </w:r>
    </w:p>
    <w:p w14:paraId="77CB5172" w14:textId="77777777" w:rsidR="00626463" w:rsidRPr="00ED5F1A" w:rsidRDefault="00000000" w:rsidP="00ED5F1A">
      <w:pPr>
        <w:pStyle w:val="MdListItem"/>
        <w:numPr>
          <w:ilvl w:val="0"/>
          <w:numId w:val="2"/>
        </w:numPr>
        <w:jc w:val="both"/>
        <w:rPr>
          <w:rFonts w:asciiTheme="majorHAnsi" w:hAnsiTheme="majorHAnsi"/>
          <w:sz w:val="22"/>
          <w:szCs w:val="22"/>
        </w:rPr>
      </w:pPr>
      <w:r w:rsidRPr="00ED5F1A">
        <w:rPr>
          <w:rStyle w:val="MdStrong"/>
          <w:rFonts w:asciiTheme="majorHAnsi" w:hAnsiTheme="majorHAnsi"/>
          <w:sz w:val="22"/>
          <w:szCs w:val="22"/>
        </w:rPr>
        <w:t>Conformidade Regulatória (SUSEP/CVM):</w:t>
      </w:r>
      <w:r w:rsidRPr="00ED5F1A">
        <w:rPr>
          <w:rFonts w:asciiTheme="majorHAnsi" w:hAnsiTheme="majorHAnsi"/>
          <w:sz w:val="22"/>
          <w:szCs w:val="22"/>
        </w:rPr>
        <w:t xml:space="preserve"> Como será garantido que a estrutura de captação esteja em conformidade com as normas da SUSEP e da CVM? A companhia submeterá previamente os modelos de contrato à análise de sua assessoria jurídica e regulatória para garantir que o investimento não seja caracterizado como um valor mobiliário irregular ou que não infrinja as regras de capital e solvência da seguradora?</w:t>
      </w:r>
    </w:p>
    <w:p w14:paraId="12E6E9BF" w14:textId="77777777" w:rsidR="00626463" w:rsidRDefault="00626463">
      <w:pPr>
        <w:pStyle w:val="MdSpace"/>
        <w:spacing w:after="60"/>
      </w:pPr>
    </w:p>
    <w:sectPr w:rsidR="00626463" w:rsidSect="00ED5F1A">
      <w:pgSz w:w="11906" w:h="16838"/>
      <w:pgMar w:top="567" w:right="567" w:bottom="567" w:left="56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8236A"/>
    <w:multiLevelType w:val="hybridMultilevel"/>
    <w:tmpl w:val="6D666D54"/>
    <w:lvl w:ilvl="0" w:tplc="D15EC07E">
      <w:start w:val="1"/>
      <w:numFmt w:val="bullet"/>
      <w:lvlText w:val="●"/>
      <w:lvlJc w:val="left"/>
      <w:pPr>
        <w:ind w:left="720" w:hanging="360"/>
      </w:pPr>
    </w:lvl>
    <w:lvl w:ilvl="1" w:tplc="2F902EC2">
      <w:start w:val="1"/>
      <w:numFmt w:val="bullet"/>
      <w:lvlText w:val="○"/>
      <w:lvlJc w:val="left"/>
      <w:pPr>
        <w:ind w:left="1440" w:hanging="360"/>
      </w:pPr>
    </w:lvl>
    <w:lvl w:ilvl="2" w:tplc="21FC26D6">
      <w:start w:val="1"/>
      <w:numFmt w:val="bullet"/>
      <w:lvlText w:val="■"/>
      <w:lvlJc w:val="left"/>
      <w:pPr>
        <w:ind w:left="2160" w:hanging="360"/>
      </w:pPr>
    </w:lvl>
    <w:lvl w:ilvl="3" w:tplc="2E3E7026">
      <w:start w:val="1"/>
      <w:numFmt w:val="bullet"/>
      <w:lvlText w:val="●"/>
      <w:lvlJc w:val="left"/>
      <w:pPr>
        <w:ind w:left="2880" w:hanging="360"/>
      </w:pPr>
    </w:lvl>
    <w:lvl w:ilvl="4" w:tplc="D4288F3C">
      <w:start w:val="1"/>
      <w:numFmt w:val="bullet"/>
      <w:lvlText w:val="○"/>
      <w:lvlJc w:val="left"/>
      <w:pPr>
        <w:ind w:left="3600" w:hanging="360"/>
      </w:pPr>
    </w:lvl>
    <w:lvl w:ilvl="5" w:tplc="89C49BF2">
      <w:start w:val="1"/>
      <w:numFmt w:val="bullet"/>
      <w:lvlText w:val="■"/>
      <w:lvlJc w:val="left"/>
      <w:pPr>
        <w:ind w:left="4320" w:hanging="360"/>
      </w:pPr>
    </w:lvl>
    <w:lvl w:ilvl="6" w:tplc="0F4047A8">
      <w:start w:val="1"/>
      <w:numFmt w:val="bullet"/>
      <w:lvlText w:val="●"/>
      <w:lvlJc w:val="left"/>
      <w:pPr>
        <w:ind w:left="5040" w:hanging="360"/>
      </w:pPr>
    </w:lvl>
    <w:lvl w:ilvl="7" w:tplc="67B63E70">
      <w:start w:val="1"/>
      <w:numFmt w:val="bullet"/>
      <w:lvlText w:val="●"/>
      <w:lvlJc w:val="left"/>
      <w:pPr>
        <w:ind w:left="5760" w:hanging="360"/>
      </w:pPr>
    </w:lvl>
    <w:lvl w:ilvl="8" w:tplc="C3541C00">
      <w:start w:val="1"/>
      <w:numFmt w:val="bullet"/>
      <w:lvlText w:val="●"/>
      <w:lvlJc w:val="left"/>
      <w:pPr>
        <w:ind w:left="6480" w:hanging="360"/>
      </w:pPr>
    </w:lvl>
  </w:abstractNum>
  <w:abstractNum w:abstractNumId="1" w15:restartNumberingAfterBreak="0">
    <w:nsid w:val="6C956AA9"/>
    <w:multiLevelType w:val="multilevel"/>
    <w:tmpl w:val="EFCC1A0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73CE6D71"/>
    <w:multiLevelType w:val="hybridMultilevel"/>
    <w:tmpl w:val="CE5413A0"/>
    <w:lvl w:ilvl="0" w:tplc="1D42B2CA">
      <w:start w:val="1"/>
      <w:numFmt w:val="bullet"/>
      <w:lvlText w:val="•"/>
      <w:lvlJc w:val="left"/>
      <w:pPr>
        <w:ind w:left="720" w:hanging="360"/>
      </w:pPr>
    </w:lvl>
    <w:lvl w:ilvl="1" w:tplc="A54A7860">
      <w:start w:val="1"/>
      <w:numFmt w:val="bullet"/>
      <w:lvlText w:val="◦"/>
      <w:lvlJc w:val="left"/>
      <w:pPr>
        <w:ind w:left="1440" w:hanging="360"/>
      </w:pPr>
    </w:lvl>
    <w:lvl w:ilvl="2" w:tplc="99D62308">
      <w:start w:val="1"/>
      <w:numFmt w:val="bullet"/>
      <w:lvlText w:val="•"/>
      <w:lvlJc w:val="left"/>
      <w:pPr>
        <w:ind w:left="2160" w:hanging="360"/>
      </w:pPr>
    </w:lvl>
    <w:lvl w:ilvl="3" w:tplc="7460FFF2">
      <w:start w:val="1"/>
      <w:numFmt w:val="bullet"/>
      <w:lvlText w:val="◦"/>
      <w:lvlJc w:val="left"/>
      <w:pPr>
        <w:ind w:left="2880" w:hanging="360"/>
      </w:pPr>
    </w:lvl>
    <w:lvl w:ilvl="4" w:tplc="79AE683C">
      <w:start w:val="1"/>
      <w:numFmt w:val="bullet"/>
      <w:lvlText w:val="•"/>
      <w:lvlJc w:val="left"/>
      <w:pPr>
        <w:ind w:left="3600" w:hanging="360"/>
      </w:pPr>
    </w:lvl>
    <w:lvl w:ilvl="5" w:tplc="235AB926">
      <w:start w:val="1"/>
      <w:numFmt w:val="bullet"/>
      <w:lvlText w:val="◦"/>
      <w:lvlJc w:val="left"/>
      <w:pPr>
        <w:ind w:left="4320" w:hanging="360"/>
      </w:pPr>
    </w:lvl>
    <w:lvl w:ilvl="6" w:tplc="77268E2E">
      <w:start w:val="1"/>
      <w:numFmt w:val="bullet"/>
      <w:lvlText w:val="•"/>
      <w:lvlJc w:val="left"/>
      <w:pPr>
        <w:ind w:left="5040" w:hanging="360"/>
      </w:pPr>
    </w:lvl>
    <w:lvl w:ilvl="7" w:tplc="DF0C733E">
      <w:numFmt w:val="decimal"/>
      <w:lvlText w:val=""/>
      <w:lvlJc w:val="left"/>
    </w:lvl>
    <w:lvl w:ilvl="8" w:tplc="8724DF90">
      <w:numFmt w:val="decimal"/>
      <w:lvlText w:val=""/>
      <w:lvlJc w:val="left"/>
    </w:lvl>
  </w:abstractNum>
  <w:num w:numId="1" w16cid:durableId="418911031">
    <w:abstractNumId w:val="0"/>
    <w:lvlOverride w:ilvl="0">
      <w:startOverride w:val="1"/>
    </w:lvlOverride>
  </w:num>
  <w:num w:numId="2" w16cid:durableId="678657183">
    <w:abstractNumId w:val="1"/>
    <w:lvlOverride w:ilvl="0">
      <w:startOverride w:val="1"/>
    </w:lvlOverride>
  </w:num>
  <w:num w:numId="3" w16cid:durableId="145105185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463"/>
    <w:rsid w:val="00626463"/>
    <w:rsid w:val="00644F58"/>
    <w:rsid w:val="00ED5F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6989A0FE"/>
  <w15:docId w15:val="{816FCF70-20C8-E14A-AA3C-C1EA1DB1B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color="0563C1"/>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3838</Words>
  <Characters>21840</Characters>
  <Application>Microsoft Office Word</Application>
  <DocSecurity>0</DocSecurity>
  <Lines>682</Lines>
  <Paragraphs>187</Paragraphs>
  <ScaleCrop>false</ScaleCrop>
  <Company/>
  <LinksUpToDate>false</LinksUpToDate>
  <CharactersWithSpaces>25491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Alessandro Pizzolatto</cp:lastModifiedBy>
  <cp:revision>2</cp:revision>
  <dcterms:created xsi:type="dcterms:W3CDTF">2026-02-12T01:31:00Z</dcterms:created>
  <dcterms:modified xsi:type="dcterms:W3CDTF">2026-02-12T01:31:00Z</dcterms:modified>
</cp:coreProperties>
</file>