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6422E8"/>
        </w:rPr>
        <w:t>Sceneggiatura — Convegno RER</w:t>
      </w:r>
    </w:p>
    <w:p>
      <w:pPr>
        <w:spacing w:after="160"/>
      </w:pPr>
      <w:r>
        <w:rPr>
          <w:i w:val="0"/>
        </w:rPr>
        <w:t>Assemblea Legislativa della Regione Emilia-Romagna · Sala Polivalente, viale Aldo Moro 52, Bologna · 14 luglio 2026, ore 9,30–13,30</w:t>
      </w:r>
    </w:p>
    <w:p>
      <w:pPr>
        <w:spacing w:after="160"/>
      </w:pPr>
      <w:r>
        <w:rPr>
          <w:i w:val="0"/>
        </w:rPr>
        <w:t>Intervento di Martino Bellincampi (IZILab), Seconda sessione — "Il futuro dei luoghi: temi e approfondimenti". Titolo assegnato in agenda: "Orientare il futuro: ridurre i divari è una possibilità che prende forma attraverso le scelte di oggi". Durata indicativa: 15 minuti, 17 slide.</w:t>
      </w:r>
    </w:p>
    <w:p>
      <w:pPr>
        <w:spacing w:after="160"/>
      </w:pPr>
      <w:r>
        <w:rPr>
          <w:i/>
        </w:rPr>
        <w:t>Questo documento affianca a ogni slide il contenuto a schermo e una proposta di testo per il relatore. Il testo suggerito è un punto di partenza da adattare al proprio stile e ai tempi reali concessi dal moderatore — non va letto parola per parola.</w:t>
      </w:r>
    </w:p>
    <w:p>
      <w:r>
        <w:br w:type="page"/>
      </w:r>
    </w:p>
    <w:p>
      <w:pPr>
        <w:pStyle w:val="Heading1"/>
      </w:pPr>
      <w:r>
        <w:rPr>
          <w:color w:val="6422E8"/>
        </w:rPr>
        <w:t>Slide 01 / 17 — Copertina</w:t>
      </w:r>
    </w:p>
    <w:p>
      <w:pPr>
        <w:pStyle w:val="Heading2"/>
      </w:pPr>
      <w:r>
        <w:rPr>
          <w:color w:val="272735"/>
        </w:rPr>
        <w:t>Orientare il futuro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Titolo: "Orientare il futuro"</w:t>
      </w:r>
    </w:p>
    <w:p>
      <w:pPr>
        <w:pStyle w:val="ListBullet"/>
      </w:pPr>
      <w:r>
        <w:t>Sottotitolo: "Ridurre i divari è una possibilità che prende forma attraverso le scelte di oggi"</w:t>
      </w:r>
    </w:p>
    <w:p>
      <w:pPr>
        <w:pStyle w:val="ListBullet"/>
      </w:pPr>
      <w:r>
        <w:t>Martino Bellincampi — IZILab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Buongiorno a tutti, e grazie per l'invito. Il titolo di questo intervento è già di per sé una tesi: orientare il futuro, ridurre i divari è una possibilità che prende forma attraverso le scelte di oggi. Sono Martino Bellincampi, di IZILab: lavoriamo di foresight, cioè studiamo come anticipare i cambiamenti invece di subirli, e lo facciamo applicandolo ai territori.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02 / 17 — Perché il futuro non si può improvvisare</w:t>
      </w:r>
    </w:p>
    <w:p>
      <w:pPr>
        <w:pStyle w:val="Heading2"/>
      </w:pPr>
      <w:r>
        <w:rPr>
          <w:color w:val="272735"/>
        </w:rPr>
        <w:t>Il futuro non si può improvvisare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&gt;50% delle aziende, USA e UE, chiude o fallisce entro 10 anni</w:t>
      </w:r>
    </w:p>
    <w:p>
      <w:pPr>
        <w:pStyle w:val="ListBullet"/>
      </w:pPr>
      <w:r>
        <w:t>&gt;80% delle imprese sociali chiude entro 3 anni</w:t>
      </w:r>
    </w:p>
    <w:p>
      <w:pPr>
        <w:pStyle w:val="ListBullet"/>
      </w:pPr>
      <w:r>
        <w:t>&gt;40% dei nuovi prodotti/servizi non trova mercato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Parto da un dato scomodo: più della metà delle aziende, tra Stati Uniti e Unione Europea, chiude o fallisce entro dieci anni. Per le imprese sociali va anche peggio: oltre l'80% chiude entro tre anni. E quasi la metà dei nuovi prodotti lanciati sul mercato non trova un interesse reale. Questo non succede perché manchino le idee: succede perché manca la capacità di leggere in anticipo dove va il contesto in cui si opera.</w:t>
      </w:r>
    </w:p>
    <w:p>
      <w:pPr>
        <w:spacing w:before="80"/>
      </w:pPr>
      <w:r>
        <w:rPr>
          <w:i/>
          <w:color w:val="575767"/>
          <w:sz w:val="18"/>
        </w:rPr>
        <w:t>Fonte: Simeone et al., 2023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03 / 17 — Fallire a guardare avanti</w:t>
      </w:r>
    </w:p>
    <w:p>
      <w:pPr>
        <w:pStyle w:val="Heading2"/>
      </w:pPr>
      <w:r>
        <w:rPr>
          <w:color w:val="272735"/>
        </w:rPr>
        <w:t>Kodak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Fatturato al picco: 16 mld $ (1996); utili al picco: 2,5 mld $ (1999)</w:t>
      </w:r>
    </w:p>
    <w:p>
      <w:pPr>
        <w:pStyle w:val="ListBullet"/>
      </w:pPr>
      <w:r>
        <w:t>Tra le prime a brevettare l'immagine digitale, ma non la sviluppa per non cannibalizzare l'analogico</w:t>
      </w:r>
    </w:p>
    <w:p>
      <w:pPr>
        <w:pStyle w:val="ListBullet"/>
      </w:pPr>
      <w:r>
        <w:t>Bancarotta: 2012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Un esempio storico. Kodak, a metà degli anni '90, era all'apice: 16 miliardi di dollari di fatturato. Ed è stata tra le prime aziende al mondo a brevettare la tecnologia dell'immagine digitale. Ma ha scelto di non svilupparla, per non fare concorrenza a se stessa sui prodotti analogici che la facevano guadagnare in quel momento. Nel 2012 ha dichiarato bancarotta. Non per mancanza di visione tecnologica: per mancanza di foresight strategico.</w:t>
      </w:r>
    </w:p>
    <w:p>
      <w:pPr>
        <w:spacing w:before="80"/>
      </w:pPr>
      <w:r>
        <w:rPr>
          <w:i/>
          <w:color w:val="575767"/>
          <w:sz w:val="18"/>
        </w:rPr>
        <w:t>Fonte: Corporate Foresight Benchmarking Report, 2018 — Aarhus University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04 / 17 — Guardare avanti per sopravvivere</w:t>
      </w:r>
    </w:p>
    <w:p>
      <w:pPr>
        <w:pStyle w:val="Heading2"/>
      </w:pPr>
      <w:r>
        <w:rPr>
          <w:color w:val="272735"/>
        </w:rPr>
        <w:t>Lego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2003: l'azienda è a un passo dalla bancarotta</w:t>
      </w:r>
    </w:p>
    <w:p>
      <w:pPr>
        <w:pStyle w:val="ListBullet"/>
      </w:pPr>
      <w:r>
        <w:t>Istituisce un Future Lab con bambini, progettisti di giocattoli, scrittori di fantascienza</w:t>
      </w:r>
    </w:p>
    <w:p>
      <w:pPr>
        <w:pStyle w:val="ListBullet"/>
      </w:pPr>
      <w:r>
        <w:t>Risultato: prodotti di enorme successo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Lego, nel 2003, era nella stessa identica posizione di rischio. La differenza è cosa ha fatto dopo: ha creato un Future Lab interno, coinvolgendo non solo i propri designer ma bambini, progettisti di giocattoli esterni, persino scrittori di fantascienza. Da lì sono nate le idee che hanno rilanciato l'azienda. Stessa crisi di Kodak, esito opposto.</w:t>
      </w:r>
    </w:p>
    <w:p>
      <w:pPr>
        <w:spacing w:before="80"/>
      </w:pPr>
      <w:r>
        <w:rPr>
          <w:i/>
          <w:color w:val="575767"/>
          <w:sz w:val="18"/>
        </w:rPr>
        <w:t>Fonte: Corporate Foresight Benchmarking Report, 2018 — Aarhus University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05 / 17 — Non è un'eccezione, è la norma</w:t>
      </w:r>
    </w:p>
    <w:p>
      <w:pPr>
        <w:pStyle w:val="Heading2"/>
      </w:pPr>
      <w:r>
        <w:rPr>
          <w:color w:val="272735"/>
        </w:rPr>
        <w:t>Il 90% lo fa già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90% delle più grandi aziende europee e USA usa regolarmente il futures thinking</w:t>
      </w:r>
    </w:p>
    <w:p>
      <w:pPr>
        <w:pStyle w:val="ListBullet"/>
      </w:pPr>
      <w:r>
        <w:t>1/3 di queste ha una funzione aziendale dedicata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Kodak e Lego non sono due aneddoti isolati. Il 90% delle più grandi aziende europee e statunitensi utilizza oggi, regolarmente, metodi di futures thinking. Un terzo di queste ha addirittura una funzione aziendale interna dedicata solo a questo. Non è più un'eccezione per pochi visionari: è prassi corrente per chi vuole restare competitivo.</w:t>
      </w:r>
    </w:p>
    <w:p>
      <w:pPr>
        <w:spacing w:before="80"/>
      </w:pPr>
      <w:r>
        <w:rPr>
          <w:i/>
          <w:color w:val="575767"/>
          <w:sz w:val="18"/>
        </w:rPr>
        <w:t>Fonte: Nuremberg Institute of Market Decisions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06 / 17 — Cos'è il foresight</w:t>
      </w:r>
    </w:p>
    <w:p>
      <w:pPr>
        <w:pStyle w:val="Heading2"/>
      </w:pPr>
      <w:r>
        <w:rPr>
          <w:color w:val="272735"/>
        </w:rPr>
        <w:t>(citazione — Berkhout et al.)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Citazione: "La scienza e l'arte di descrivere, spiegare, esplorare, prevedere e/o interpretare gli sviluppi futuri, nonché di valutarne le conseguenze per le decisioni e le azioni nel presente."</w:t>
      </w:r>
    </w:p>
    <w:p>
      <w:pPr>
        <w:pStyle w:val="ListBullet"/>
      </w:pPr>
      <w:r>
        <w:t>— Berkhout, Van der Duin, Hartmann &amp; Ortt, 2007, p. 74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Ma cos'è, esattamente, il foresight? La definizione più citata in letteratura è questa: è la scienza e l'arte di descrivere, spiegare, esplorare, prevedere o interpretare gli sviluppi futuri, e di valutarne le conseguenze per le decisioni e le azioni nel presente. Il punto chiave è proprio questo: nel presente. Il foresight non serve a indovinare il futuro, serve a decidere meglio oggi.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07 / 17</w:t>
      </w:r>
    </w:p>
    <w:p>
      <w:pPr>
        <w:pStyle w:val="Heading2"/>
      </w:pPr>
      <w:r>
        <w:rPr>
          <w:color w:val="272735"/>
        </w:rPr>
        <w:t>(citazione — Harvard Business Review Italia)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Citazione: "Prevedere il futuro è scientificamente impossibile. Guardare al futuro in modo razionale e scientifico non lo è."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E qui arrivo a un punto che vorrei fosse chiaro fin da subito, perché toglie di mezzo un'obiezione comune: prevedere il futuro è scientificamente impossibile. Ma guardare al futuro in modo razionale e scientifico non lo è. È una distinzione che sembra sottile ma cambia tutto: non stiamo parlando di indovini, stiamo parlando di un metodo.</w:t>
      </w:r>
    </w:p>
    <w:p>
      <w:pPr>
        <w:spacing w:before="80"/>
      </w:pPr>
      <w:r>
        <w:rPr>
          <w:i/>
          <w:color w:val="575767"/>
          <w:sz w:val="18"/>
        </w:rPr>
        <w:t>Fonte: Harvard Business Review Italia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08 / 17 — Un esempio</w:t>
      </w:r>
    </w:p>
    <w:p>
      <w:pPr>
        <w:pStyle w:val="Heading2"/>
      </w:pPr>
      <w:r>
        <w:rPr>
          <w:color w:val="272735"/>
        </w:rPr>
        <w:t>Investire oggi contro un rischio che arriva tra decenni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Programma Delta, Governo Olandese: 1,4 mld € fino al 2034</w:t>
      </w:r>
    </w:p>
    <w:p>
      <w:pPr>
        <w:pStyle w:val="ListBullet"/>
      </w:pPr>
      <w:r>
        <w:t>Orizzonte del rischio: 50–100 anni</w:t>
      </w:r>
    </w:p>
    <w:p>
      <w:pPr>
        <w:pStyle w:val="ListBullet"/>
      </w:pPr>
      <w:r>
        <w:t>Innalzamento del mare stimato: 1–5 metri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Un esempio concreto di metodo applicato alle politiche pubbliche: il Programma Delta del governo olandese. Investono 1,4 miliardi di euro, fino al 2034, in opere e manutenzione per un rischio che si materializzerà tra 50 e 100 anni: un innalzamento del livello del mare stimato tra 1 e 5 metri. Non aspettano che il rischio sia certo e vicino: agiscono adesso, proprio perché la finestra per prepararsi è lunga ma non infinita.</w:t>
      </w:r>
    </w:p>
    <w:p>
      <w:pPr>
        <w:spacing w:before="80"/>
      </w:pPr>
      <w:r>
        <w:rPr>
          <w:i/>
          <w:color w:val="575767"/>
          <w:sz w:val="18"/>
        </w:rPr>
        <w:t>Fonte: Programma Delta, Governo Olandese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09 / 17 — La nostra metodologia</w:t>
      </w:r>
    </w:p>
    <w:p>
      <w:pPr>
        <w:pStyle w:val="Heading2"/>
      </w:pPr>
      <w:r>
        <w:rPr>
          <w:color w:val="272735"/>
        </w:rPr>
        <w:t>Un solo tipo di dato non basta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Critica al foresight tradizionale: rischia di restare astratto, senza indicazioni per l'azione</w:t>
      </w:r>
    </w:p>
    <w:p>
      <w:pPr>
        <w:pStyle w:val="ListBullet"/>
      </w:pPr>
      <w:r>
        <w:t>Thick Data — storie, interviste, motivazioni, comportamenti</w:t>
      </w:r>
    </w:p>
    <w:p>
      <w:pPr>
        <w:pStyle w:val="ListBullet"/>
      </w:pPr>
      <w:r>
        <w:t>Big Data — dati digitali su larga scala, sensori, tracce online</w:t>
      </w:r>
    </w:p>
    <w:p>
      <w:pPr>
        <w:pStyle w:val="ListBullet"/>
      </w:pPr>
      <w:r>
        <w:t>Forward-Looking Data — trend, scenari, backcasting</w:t>
      </w:r>
    </w:p>
    <w:p>
      <w:pPr>
        <w:pStyle w:val="ListBullet"/>
      </w:pPr>
      <w:r>
        <w:t>Participatory Data — workshop, co-progettazione, hackathon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Qui arrivo al cuore del nostro metodo, quello che abbiamo sviluppato come IZILab e descritto nel nostro libro, Futures Thinking. Il foresight tradizionale è stato criticato per un motivo preciso: rischia di restare astratto, di non tradursi in indicazioni operative. La nostra risposta è integrare quattro tipi di dato, non uno solo: i Thick Data, cioè le storie e le motivazioni delle persone; i Big Data, su larga scala; i Forward-Looking Data, cioè gli output dei metodi di foresight classici come scenari e trend; e i Participatory Data, quelli che nascono dal coinvolgimento diretto delle persone in workshop e percorsi condivisi. Non sono alternativi tra loro: vanno mixati a seconda del problema, come ingredienti di una ricetta.</w:t>
      </w:r>
    </w:p>
    <w:p>
      <w:pPr>
        <w:spacing w:before="80"/>
      </w:pPr>
      <w:r>
        <w:rPr>
          <w:i/>
          <w:color w:val="575767"/>
          <w:sz w:val="18"/>
        </w:rPr>
        <w:t>Fonte: Bellincampi et al., Futures Thinking — Cap. 1 e 4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10 / 17 — Lo abbiamo già fatto</w:t>
      </w:r>
    </w:p>
    <w:p>
      <w:pPr>
        <w:pStyle w:val="Heading2"/>
      </w:pPr>
      <w:r>
        <w:rPr>
          <w:color w:val="272735"/>
        </w:rPr>
        <w:t>Un piccolo comune dell'Appennino, una visione a 30 anni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Nuova sindaca eletta con un patto: costruire una visione di lungo periodo, non gestire l'ordinario</w:t>
      </w:r>
    </w:p>
    <w:p>
      <w:pPr>
        <w:pStyle w:val="ListBullet"/>
      </w:pPr>
      <w:r>
        <w:t>Horizon scanning e framework PESTEL</w:t>
      </w:r>
    </w:p>
    <w:p>
      <w:pPr>
        <w:pStyle w:val="ListBullet"/>
      </w:pPr>
      <w:r>
        <w:t>Metodo Delphi e assemblee pubbliche</w:t>
      </w:r>
    </w:p>
    <w:p>
      <w:pPr>
        <w:pStyle w:val="ListBullet"/>
      </w:pPr>
      <w:r>
        <w:t>Futures workshop con cittadini ed esperti</w:t>
      </w:r>
    </w:p>
    <w:p>
      <w:pPr>
        <w:pStyle w:val="ListBullet"/>
      </w:pPr>
      <w:r>
        <w:t>Esito: lavoro remoto in montagna, coworking, turismo di rigenerazione; risonanza nazionale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Questo non è un esercizio teorico: lo abbiamo già applicato. Un piccolo comune dell'Appennino tosco-emiliano ha eletto una nuova sindaca con un patto preciso: non passare cinque anni a tappare buche, ma costruire una visione a trent'anni per la propria comunità di montagna. Con il nostro supporto ha usato horizon scanning e framework PESTEL, il metodo Delphi con assemblee pubbliche, e futures workshop che hanno coinvolto cittadini ed esperti insieme. Il risultato: politiche su lavoro remoto in montagna, coworking ad alta connettività, turismo di rigenerazione. È stata una delle prime esperienze italiane di questo tipo, con una risonanza che è andata oltre i confini del comune stesso.</w:t>
      </w:r>
    </w:p>
    <w:p>
      <w:pPr>
        <w:spacing w:before="80"/>
      </w:pPr>
      <w:r>
        <w:rPr>
          <w:i/>
          <w:color w:val="575767"/>
          <w:sz w:val="18"/>
        </w:rPr>
        <w:t>Fonte: Bellincampi et al., Futures Thinking — Cap. 7.2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11 / 17 — Da un comune a centinaia di territori</w:t>
      </w:r>
    </w:p>
    <w:p>
      <w:pPr>
        <w:pStyle w:val="Heading2"/>
      </w:pPr>
      <w:r>
        <w:rPr>
          <w:color w:val="272735"/>
        </w:rPr>
        <w:t>Chorema non è una dashboard, è un research environment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Si distingue da GIS tradizionali (Esri, QGIS), location intelligence (CARTO), consulenza (Deloitte, McKinsey)</w:t>
      </w:r>
    </w:p>
    <w:p>
      <w:pPr>
        <w:pStyle w:val="ListBullet"/>
      </w:pPr>
      <w:r>
        <w:t>Combina foresight di lungo periodo e intelligenza agentica su indici territoriali validati</w:t>
      </w:r>
    </w:p>
    <w:p>
      <w:pPr>
        <w:pStyle w:val="ListBullet"/>
      </w:pPr>
      <w:r>
        <w:t>Callout: gli stessi 4 tipi di dato, ora integrati e aggiornati in continuo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La domanda naturale è: come si fa a ripetere questo lavoro non su un comune alla volta, con un team dedicato per nove mesi, ma su centinaia di territori insieme? La risposta è Chorema, la piattaforma che abbiamo sviluppato come IZILab. Chorema non è una dashboard: è un ambiente di ricerca. Si differenzia dai GIS tradizionali come Esri o QGIS, dagli strumenti di location intelligence come CARTO, e dalla consulenza di foresight classica, perché combina l'orizzonte di lungo periodo con l'intelligenza agentica, applicata a indici territoriali validati scientificamente. In sostanza: sono gli stessi quattro tipi di dato di cui parlavo prima, ma ora integrati e aggiornati in modo continuo, non più una volta ogni nove mesi.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12 / 17 — Come funziona</w:t>
      </w:r>
    </w:p>
    <w:p>
      <w:pPr>
        <w:pStyle w:val="Heading2"/>
      </w:pPr>
      <w:r>
        <w:rPr>
          <w:color w:val="272735"/>
        </w:rPr>
        <w:t>Indici validati + intelligenza agentica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Data Lake — 80.000+ indicatori geospaziali, 500+ report</w:t>
      </w:r>
    </w:p>
    <w:p>
      <w:pPr>
        <w:pStyle w:val="ListBullet"/>
      </w:pPr>
      <w:r>
        <w:t>Indici validati — con Politecnico di Milano, Aalborg University, LUM</w:t>
      </w:r>
    </w:p>
    <w:p>
      <w:pPr>
        <w:pStyle w:val="ListBullet"/>
      </w:pPr>
      <w:r>
        <w:t>Architettura multi-agente — coordinatore, agenti esperti, agente critico anti-hallucination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In pratica, Chorema si regge su tre pilastri. Il primo è un Data Lake che raccoglie oltre ottantamila indicatori geospaziali e cinquecento report, da fonti istituzionali e scientifiche. Il secondo sono gli indici validati, sviluppati insieme a partner accademici come il Politecnico di Milano, l'Università di Aalborg e la LUM. Il terzo è un'architettura multi-agente: un agente coordinatore, agenti esperti su singoli domini, e un agente critico che ha il compito specifico di segnalare vuoti informativi e possibili errori, prima che arrivino all'utente.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13 / 17 — Perché non basta un chatbot generico</w:t>
      </w:r>
    </w:p>
    <w:p>
      <w:pPr>
        <w:pStyle w:val="Heading2"/>
      </w:pPr>
      <w:r>
        <w:rPr>
          <w:color w:val="272735"/>
        </w:rPr>
        <w:t>Stessa domanda, risposte diverse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Domanda test: "In quali provincie la domanda di competenze crescerà di più, e quali corridoi migratori saranno più praticabili?"</w:t>
      </w:r>
    </w:p>
    <w:p>
      <w:pPr>
        <w:pStyle w:val="ListBullet"/>
      </w:pPr>
      <w:r>
        <w:t>Generalisti (ChatGPT/Gemini/Claude): nessun dato granulare, fonti generiche, nessuna indicazione operativa</w:t>
      </w:r>
    </w:p>
    <w:p>
      <w:pPr>
        <w:pStyle w:val="ListBullet"/>
      </w:pPr>
      <w:r>
        <w:t>ForeSkill su Chorema: dati granulari per provincia, 18 fonti curate e tracciabili, indicazioni azionabili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Perché non basta chiedere la stessa cosa a un chatbot generico? Abbiamo fatto la prova con una domanda reale: in quali provincie la domanda di competenze crescerà di più, e quali corridoi migratori saranno più praticabili nei prossimi anni. I generalisti, ChatGPT, Gemini, Claude, danno risposte senza dati realmente granulari, con fonti generiche o non verificabili, e senza alcuna indicazione operativa concreta. ForeSkill, il verticale di Chorema per il mercato del lavoro, dà invece dati granulari per provincia e per orizzonte temporale, con diciotto fonti curate e tracciabili, e indicazioni pienamente azionabili. La differenza non è nel modello linguistico: è nell'infrastruttura di conoscenza che c'è sotto.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14 / 17 — Caso studio</w:t>
      </w:r>
    </w:p>
    <w:p>
      <w:pPr>
        <w:pStyle w:val="Heading2"/>
      </w:pPr>
      <w:r>
        <w:rPr>
          <w:color w:val="272735"/>
        </w:rPr>
        <w:t>Berceto, Appennino Parma Est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Area SNAI Appennino Parma Est, finanziata ciclo 2021-2027</w:t>
      </w:r>
    </w:p>
    <w:p>
      <w:pPr>
        <w:pStyle w:val="ListBullet"/>
      </w:pPr>
      <w:r>
        <w:t>Classificazione ISTAT E, Periferico, 44,7 minuti dal polo urbano</w:t>
      </w:r>
    </w:p>
    <w:p>
      <w:pPr>
        <w:pStyle w:val="ListBullet"/>
      </w:pPr>
      <w:r>
        <w:t>Popolazione: -25,7% in 30 anni (1991-2021)</w:t>
      </w:r>
    </w:p>
    <w:p>
      <w:pPr>
        <w:pStyle w:val="ListBullet"/>
      </w:pPr>
      <w:r>
        <w:t>Struttura demografica: over 65 oltre 4 volte gli under 15</w:t>
      </w:r>
    </w:p>
    <w:p>
      <w:pPr>
        <w:pStyle w:val="ListBullet"/>
      </w:pPr>
      <w:r>
        <w:t>Callout: zero ospedali raggiungibili in 30 minuti; dominio più accessibile: la ristorazione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Vengo ora a un caso concreto, dentro questa stessa regione. Berceto, in provincia di Parma, fa parte dell'area SNAI Appennino Parma Est, finanziata nel ciclo 2021-2027. È classificato dall'ISTAT come comune periferico, a 44 minuti e 7 dal polo urbano di riferimento. La popolazione è calata del 25,7% in trent'anni, e la quota di over 65 supera di oltre quattro volte quella degli under 15. Ma il dato che voglio sottolineare è un altro, ed è quello che un indice come quelli di Chorema riesce a far emergere meglio di una semplice descrizione: zero ospedali raggiungibili in trenta minuti. Il dominio più accessibile in assoluto, invece, è la ristorazione. È il paradosso di un territorio che accoglie turisti ma fatica a trattenere residenti.</w:t>
      </w:r>
    </w:p>
    <w:p>
      <w:pPr>
        <w:spacing w:before="80"/>
      </w:pPr>
      <w:r>
        <w:rPr>
          <w:i/>
          <w:color w:val="575767"/>
          <w:sz w:val="18"/>
        </w:rPr>
        <w:t>Fonte: Chorema — Aree Interne Intelligence, Urban Intelligence (Hex)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15 / 17 — Scenari</w:t>
      </w:r>
    </w:p>
    <w:p>
      <w:pPr>
        <w:pStyle w:val="Heading2"/>
      </w:pPr>
      <w:r>
        <w:rPr>
          <w:color w:val="272735"/>
        </w:rPr>
        <w:t>Due traiettorie, a partire da oggi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Scenario 1 — Inerzia strutturale: il trend attuale continua, popolazione sotto soglia critica entro il 2030</w:t>
      </w:r>
    </w:p>
    <w:p>
      <w:pPr>
        <w:pStyle w:val="ListBullet"/>
      </w:pPr>
      <w:r>
        <w:t>Scenario 2 — Rigenerazione connessa: telemedicina, mobilità a chiamata, residenzialità digitale invertono parzialmente il declino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Da qui, due traiettorie possibili, a partire da oggi. Nello scenario di inerzia strutturale, il trend attuale continua: connettività e telemedicina non arrivano in tempo, e la popolazione scende sotto la soglia critica già entro il 2030. Nello scenario di rigenerazione connessa, invece, le leve già previste nel ciclo SNAI in corso, telemedicina, mobilità a chiamata, residenzialità digitale, vengono attivate in tempo e invertono almeno parzialmente la traiettoria di declino. La differenza tra i due scenari non è il caso: sono le scelte fatte nei prossimi mesi.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16 / 17 — Raccomandazioni strategiche</w:t>
      </w:r>
    </w:p>
    <w:p>
      <w:pPr>
        <w:pStyle w:val="Heading2"/>
      </w:pPr>
      <w:r>
        <w:rPr>
          <w:color w:val="272735"/>
        </w:rPr>
        <w:t>Le scelte che possono cambiare la traiettoria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01 — Telemedicina intercomunale — AUSL Parma / Unione dei Comuni — presidio h24 entro il 2026</w:t>
      </w:r>
    </w:p>
    <w:p>
      <w:pPr>
        <w:pStyle w:val="ListBullet"/>
      </w:pPr>
      <w:r>
        <w:t>02 — Mobilità a chiamata sovracomunale — Agenzia TPL Emilia-Romagna — operativa entro il 2027</w:t>
      </w:r>
    </w:p>
    <w:p>
      <w:pPr>
        <w:pStyle w:val="ListBullet"/>
      </w:pPr>
      <w:r>
        <w:t>03 — Residenzialità digitale — Comune di Berceto / GAL Appennino Parmense — incentivi e coworking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Concretamente, tre scelte che possono spostare l'ago della bilancia. Primo: un presidio di telemedicina intercomunale, in capo ad AUSL Parma e all'Unione dei Comuni, attivo entro il 2026. Secondo: un servizio di mobilità a chiamata sovracomunale, con l'Agenzia TPL Emilia-Romagna, operativo entro il 2027. Terzo: incentivi per la residenzialità digitale, tra il Comune di Berceto e il GAL Appennino Parmense, per trasformare le strutture ricettive esistenti in spazi per lavoratori remoti. Sono scelte puntuali, con un destinatario chiaro ciascuna, non un piano generico.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6422E8"/>
        </w:rPr>
        <w:t>Slide 17 / 17 — In chiusura</w:t>
      </w:r>
    </w:p>
    <w:p>
      <w:pPr>
        <w:pStyle w:val="Heading2"/>
      </w:pPr>
      <w:r>
        <w:rPr>
          <w:color w:val="272735"/>
        </w:rPr>
        <w:t>Le scelte di oggi</w:t>
      </w:r>
    </w:p>
    <w:p>
      <w:pPr>
        <w:spacing w:before="120" w:after="40"/>
      </w:pPr>
      <w:r>
        <w:rPr>
          <w:b/>
          <w:color w:val="575767"/>
          <w:sz w:val="18"/>
        </w:rPr>
        <w:t>CONTENUTO IN SLIDE</w:t>
      </w:r>
    </w:p>
    <w:p>
      <w:pPr>
        <w:pStyle w:val="ListBullet"/>
      </w:pPr>
      <w:r>
        <w:t>Il ciclo SNAI 2021-2027 è aperto</w:t>
      </w:r>
    </w:p>
    <w:p>
      <w:pPr>
        <w:pStyle w:val="ListBullet"/>
      </w:pPr>
      <w:r>
        <w:t>Le tecnologie per leggere e anticipare i divari territoriali esistono già</w:t>
      </w:r>
    </w:p>
    <w:p>
      <w:pPr>
        <w:pStyle w:val="ListBullet"/>
      </w:pPr>
      <w:r>
        <w:t>Chiusura: non è un nuovo dato che serve, è la scelta di usarlo, ora</w:t>
      </w:r>
    </w:p>
    <w:p>
      <w:pPr>
        <w:spacing w:before="120" w:after="40"/>
      </w:pPr>
      <w:r>
        <w:rPr>
          <w:b/>
          <w:color w:val="575767"/>
          <w:sz w:val="18"/>
        </w:rPr>
        <w:t>SCENEGGIATURA (PROPOSTA DI TESTO)</w:t>
      </w:r>
    </w:p>
    <w:p>
      <w:pPr>
        <w:spacing w:after="160"/>
      </w:pPr>
      <w:r>
        <w:rPr>
          <w:i w:val="0"/>
        </w:rPr>
        <w:t>Chiudo tornando al titolo di questo intervento. Il ciclo SNAI 2021-2027 è aperto. Le tecnologie per leggere e anticipare i divari territoriali esistono già, le abbiamo viste applicate sia a un singolo comune sia, con Chorema, a scala di centinaia di territori. Quello che ridurrà davvero le disuguaglianze tra i luoghi non è un nuovo dato: è la scelta di usarlo, ora. Grazie.</w:t>
      </w:r>
    </w:p>
    <w:p>
      <w:pPr>
        <w:spacing w:before="80" w:after="80"/>
      </w:pPr>
      <w:r>
        <w:rPr>
          <w:color w:val="CECDE0"/>
          <w:sz w:val="16"/>
        </w:rPr>
        <w:t>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7273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