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Area Interna Alta Murgia</w:t>
      </w:r>
    </w:p>
    <w:p>
      <w:pPr>
        <w:jc w:val="center"/>
      </w:pPr>
      <w:r>
        <w:rPr>
          <w:i/>
          <w:sz w:val="26"/>
        </w:rPr>
        <w:t>Profilo SNAI e analisi di accessibilità ai servizi per comune</w:t>
      </w:r>
    </w:p>
    <w:p>
      <w:pPr>
        <w:pStyle w:val="Heading1"/>
      </w:pPr>
      <w:r>
        <w:t>1. Introduzione</w:t>
      </w:r>
    </w:p>
    <w:p>
      <w:r>
        <w:t>Il presente documento descrive l'area interna "Alta Murgia", inclusa nella Strategia Nazionale Aree Interne (SNAI), e analizza la situazione dei tre comuni che la compongono in termini di caratteristiche demografiche, classificazione di perifericità e accessibilità ai servizi essenziali.</w:t>
      </w:r>
    </w:p>
    <w:p>
      <w:r>
        <w:t>Fonti dei dati: DPCoe (Dipartimento per le Politiche di Coesione) e ISTAT, Mappa Aree Interne 2020, per i dati anagrafici e di classificazione; hex-intelligence (indicatori urbani OVM, snapshot Censimento 2021, regione Puglia) per i dati di accessibilità ai servizi.</w:t>
      </w:r>
    </w:p>
    <w:p>
      <w:pPr>
        <w:pStyle w:val="Heading1"/>
      </w:pPr>
      <w:r>
        <w:t>2. Profilo dell'area</w:t>
      </w:r>
    </w:p>
    <w:p>
      <w:r>
        <w:t>Regione: Puglia.</w:t>
      </w:r>
    </w:p>
    <w:p>
      <w:r>
        <w:t>Status SNAI: CONF (area confermata dal ciclo 2014-2020, non rifinanziata nel ciclo 2021-2027).</w:t>
      </w:r>
    </w:p>
    <w:p>
      <w:r>
        <w:t>Numero di comuni: 3.</w:t>
      </w:r>
    </w:p>
    <w:p>
      <w:r>
        <w:t>Popolazione totale (dato 2020): 15.844 abitanti.</w:t>
      </w:r>
    </w:p>
    <w:p>
      <w:r>
        <w:t>Superficie totale: 484,86 km2.</w:t>
      </w:r>
    </w:p>
    <w:p>
      <w:r>
        <w:t>Quota di popolazione in classe E (periferico): 66,7% (2 comuni su 3).</w:t>
      </w:r>
    </w:p>
    <w:p>
      <w:r>
        <w:t>Nessun comune dell'area rientra nella classe F (ultraperiferico).</w:t>
      </w:r>
    </w:p>
    <w:p>
      <w:pPr>
        <w:pStyle w:val="Heading2"/>
      </w:pPr>
      <w:r>
        <w:t>2.1 Distribuzione per classificazione ISTAT di perifericità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rPr>
                <w:b/>
              </w:rPr>
              <w:t>Classe</w:t>
            </w:r>
          </w:p>
        </w:tc>
        <w:tc>
          <w:tcPr>
            <w:tcW w:type="dxa" w:w="2160"/>
          </w:tcPr>
          <w:p>
            <w:r>
              <w:rPr>
                <w:b/>
              </w:rPr>
              <w:t>Descrizione</w:t>
            </w:r>
          </w:p>
        </w:tc>
        <w:tc>
          <w:tcPr>
            <w:tcW w:type="dxa" w:w="2160"/>
          </w:tcPr>
          <w:p>
            <w:r>
              <w:rPr>
                <w:b/>
              </w:rPr>
              <w:t>N. comuni</w:t>
            </w:r>
          </w:p>
        </w:tc>
        <w:tc>
          <w:tcPr>
            <w:tcW w:type="dxa" w:w="2160"/>
          </w:tcPr>
          <w:p>
            <w:r>
              <w:rPr>
                <w:b/>
              </w:rPr>
              <w:t>Popolazione</w:t>
            </w:r>
          </w:p>
        </w:tc>
      </w:tr>
      <w:tr>
        <w:tc>
          <w:tcPr>
            <w:tcW w:type="dxa" w:w="2160"/>
          </w:tcPr>
          <w:p>
            <w:r>
              <w:t>D</w:t>
            </w:r>
          </w:p>
        </w:tc>
        <w:tc>
          <w:tcPr>
            <w:tcW w:type="dxa" w:w="2160"/>
          </w:tcPr>
          <w:p>
            <w:r>
              <w:t>Intermedio</w:t>
            </w:r>
          </w:p>
        </w:tc>
        <w:tc>
          <w:tcPr>
            <w:tcW w:type="dxa" w:w="2160"/>
          </w:tcPr>
          <w:p>
            <w:r>
              <w:t>1</w:t>
            </w:r>
          </w:p>
        </w:tc>
        <w:tc>
          <w:tcPr>
            <w:tcW w:type="dxa" w:w="2160"/>
          </w:tcPr>
          <w:p>
            <w:r>
              <w:t>8.390</w:t>
            </w:r>
          </w:p>
        </w:tc>
      </w:tr>
      <w:tr>
        <w:tc>
          <w:tcPr>
            <w:tcW w:type="dxa" w:w="2160"/>
          </w:tcPr>
          <w:p>
            <w:r>
              <w:t>E</w:t>
            </w:r>
          </w:p>
        </w:tc>
        <w:tc>
          <w:tcPr>
            <w:tcW w:type="dxa" w:w="2160"/>
          </w:tcPr>
          <w:p>
            <w:r>
              <w:t>Periferico</w:t>
            </w:r>
          </w:p>
        </w:tc>
        <w:tc>
          <w:tcPr>
            <w:tcW w:type="dxa" w:w="2160"/>
          </w:tcPr>
          <w:p>
            <w:r>
              <w:t>2</w:t>
            </w:r>
          </w:p>
        </w:tc>
        <w:tc>
          <w:tcPr>
            <w:tcW w:type="dxa" w:w="2160"/>
          </w:tcPr>
          <w:p>
            <w:r>
              <w:t>7.454</w:t>
            </w:r>
          </w:p>
        </w:tc>
      </w:tr>
    </w:tbl>
    <w:p/>
    <w:p>
      <w:pPr>
        <w:pStyle w:val="Heading1"/>
      </w:pPr>
      <w:r>
        <w:t>3. I comuni dell'area</w:t>
      </w:r>
    </w:p>
    <w:p>
      <w:r>
        <w:t>L'area Alta Murgia comprende i comuni di Minervino Murge (provincia di Barletta-Andria-Trani), Spinazzola (provincia di Barletta-Andria-Trani) e Poggiorsini (provincia di Bari).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440"/>
        <w:gridCol w:w="1440"/>
        <w:gridCol w:w="1440"/>
        <w:gridCol w:w="1440"/>
        <w:gridCol w:w="1440"/>
        <w:gridCol w:w="1440"/>
      </w:tblGrid>
      <w:tr>
        <w:tc>
          <w:tcPr>
            <w:tcW w:type="dxa" w:w="1440"/>
          </w:tcPr>
          <w:p>
            <w:r>
              <w:rPr>
                <w:b/>
              </w:rPr>
              <w:t>Comune</w:t>
            </w:r>
          </w:p>
        </w:tc>
        <w:tc>
          <w:tcPr>
            <w:tcW w:type="dxa" w:w="1440"/>
          </w:tcPr>
          <w:p>
            <w:r>
              <w:rPr>
                <w:b/>
              </w:rPr>
              <w:t>Provincia</w:t>
            </w:r>
          </w:p>
        </w:tc>
        <w:tc>
          <w:tcPr>
            <w:tcW w:type="dxa" w:w="1440"/>
          </w:tcPr>
          <w:p>
            <w:r>
              <w:rPr>
                <w:b/>
              </w:rPr>
              <w:t>Classificazione ISTAT</w:t>
            </w:r>
          </w:p>
        </w:tc>
        <w:tc>
          <w:tcPr>
            <w:tcW w:type="dxa" w:w="1440"/>
          </w:tcPr>
          <w:p>
            <w:r>
              <w:rPr>
                <w:b/>
              </w:rPr>
              <w:t>Popolazione 2020</w:t>
            </w:r>
          </w:p>
        </w:tc>
        <w:tc>
          <w:tcPr>
            <w:tcW w:type="dxa" w:w="1440"/>
          </w:tcPr>
          <w:p>
            <w:r>
              <w:rPr>
                <w:b/>
              </w:rPr>
              <w:t>Superficie km2</w:t>
            </w:r>
          </w:p>
        </w:tc>
        <w:tc>
          <w:tcPr>
            <w:tcW w:type="dxa" w:w="1440"/>
          </w:tcPr>
          <w:p>
            <w:r>
              <w:rPr>
                <w:b/>
              </w:rPr>
              <w:t>Distanza minima dal polo (min)</w:t>
            </w:r>
          </w:p>
        </w:tc>
      </w:tr>
      <w:tr>
        <w:tc>
          <w:tcPr>
            <w:tcW w:type="dxa" w:w="1440"/>
          </w:tcPr>
          <w:p>
            <w:r>
              <w:t>Minervino Murge</w:t>
            </w:r>
          </w:p>
        </w:tc>
        <w:tc>
          <w:tcPr>
            <w:tcW w:type="dxa" w:w="1440"/>
          </w:tcPr>
          <w:p>
            <w:r>
              <w:t>Barletta-Andria-Trani</w:t>
            </w:r>
          </w:p>
        </w:tc>
        <w:tc>
          <w:tcPr>
            <w:tcW w:type="dxa" w:w="1440"/>
          </w:tcPr>
          <w:p>
            <w:r>
              <w:t>D - Intermedio</w:t>
            </w:r>
          </w:p>
        </w:tc>
        <w:tc>
          <w:tcPr>
            <w:tcW w:type="dxa" w:w="1440"/>
          </w:tcPr>
          <w:p>
            <w:r>
              <w:t>8.390</w:t>
            </w:r>
          </w:p>
        </w:tc>
        <w:tc>
          <w:tcPr>
            <w:tcW w:type="dxa" w:w="1440"/>
          </w:tcPr>
          <w:p>
            <w:r>
              <w:t>257,41</w:t>
            </w:r>
          </w:p>
        </w:tc>
        <w:tc>
          <w:tcPr>
            <w:tcW w:type="dxa" w:w="1440"/>
          </w:tcPr>
          <w:p>
            <w:r>
              <w:t>32,9</w:t>
            </w:r>
          </w:p>
        </w:tc>
      </w:tr>
      <w:tr>
        <w:tc>
          <w:tcPr>
            <w:tcW w:type="dxa" w:w="1440"/>
          </w:tcPr>
          <w:p>
            <w:r>
              <w:t>Spinazzola</w:t>
            </w:r>
          </w:p>
        </w:tc>
        <w:tc>
          <w:tcPr>
            <w:tcW w:type="dxa" w:w="1440"/>
          </w:tcPr>
          <w:p>
            <w:r>
              <w:t>Barletta-Andria-Trani</w:t>
            </w:r>
          </w:p>
        </w:tc>
        <w:tc>
          <w:tcPr>
            <w:tcW w:type="dxa" w:w="1440"/>
          </w:tcPr>
          <w:p>
            <w:r>
              <w:t>E - Periferico</w:t>
            </w:r>
          </w:p>
        </w:tc>
        <w:tc>
          <w:tcPr>
            <w:tcW w:type="dxa" w:w="1440"/>
          </w:tcPr>
          <w:p>
            <w:r>
              <w:t>6.115</w:t>
            </w:r>
          </w:p>
        </w:tc>
        <w:tc>
          <w:tcPr>
            <w:tcW w:type="dxa" w:w="1440"/>
          </w:tcPr>
          <w:p>
            <w:r>
              <w:t>184,01</w:t>
            </w:r>
          </w:p>
        </w:tc>
        <w:tc>
          <w:tcPr>
            <w:tcW w:type="dxa" w:w="1440"/>
          </w:tcPr>
          <w:p>
            <w:r>
              <w:t>45,0</w:t>
            </w:r>
          </w:p>
        </w:tc>
      </w:tr>
      <w:tr>
        <w:tc>
          <w:tcPr>
            <w:tcW w:type="dxa" w:w="1440"/>
          </w:tcPr>
          <w:p>
            <w:r>
              <w:t>Poggiorsini</w:t>
            </w:r>
          </w:p>
        </w:tc>
        <w:tc>
          <w:tcPr>
            <w:tcW w:type="dxa" w:w="1440"/>
          </w:tcPr>
          <w:p>
            <w:r>
              <w:t>Bari</w:t>
            </w:r>
          </w:p>
        </w:tc>
        <w:tc>
          <w:tcPr>
            <w:tcW w:type="dxa" w:w="1440"/>
          </w:tcPr>
          <w:p>
            <w:r>
              <w:t>E - Periferico</w:t>
            </w:r>
          </w:p>
        </w:tc>
        <w:tc>
          <w:tcPr>
            <w:tcW w:type="dxa" w:w="1440"/>
          </w:tcPr>
          <w:p>
            <w:r>
              <w:t>1.339</w:t>
            </w:r>
          </w:p>
        </w:tc>
        <w:tc>
          <w:tcPr>
            <w:tcW w:type="dxa" w:w="1440"/>
          </w:tcPr>
          <w:p>
            <w:r>
              <w:t>43,44</w:t>
            </w:r>
          </w:p>
        </w:tc>
        <w:tc>
          <w:tcPr>
            <w:tcW w:type="dxa" w:w="1440"/>
          </w:tcPr>
          <w:p>
            <w:r>
              <w:t>44,2</w:t>
            </w:r>
          </w:p>
        </w:tc>
      </w:tr>
    </w:tbl>
    <w:p/>
    <w:p>
      <w:pPr>
        <w:pStyle w:val="Heading2"/>
      </w:pPr>
      <w:r>
        <w:t>3.1 Minervino Murge</w:t>
      </w:r>
    </w:p>
    <w:p>
      <w:r>
        <w:t>Comune più popoloso e più esteso dell'area (8.390 abitanti, 257,41 km2), classificato D (Intermedio). È il comune con la distanza minima dal polo di riferimento (32,9 minuti), la più bassa dei tre.</w:t>
      </w:r>
    </w:p>
    <w:p>
      <w:pPr>
        <w:pStyle w:val="Heading2"/>
      </w:pPr>
      <w:r>
        <w:t>3.2 Spinazzola</w:t>
      </w:r>
    </w:p>
    <w:p>
      <w:r>
        <w:t>Secondo comune per popolazione (6.115 abitanti, 184,01 km2), classificato E (Periferico). È il comune più distante dal polo di riferimento (45,0 minuti).</w:t>
      </w:r>
    </w:p>
    <w:p>
      <w:pPr>
        <w:pStyle w:val="Heading2"/>
      </w:pPr>
      <w:r>
        <w:t>3.3 Poggiorsini</w:t>
      </w:r>
    </w:p>
    <w:p>
      <w:r>
        <w:t>Comune più piccolo dell'area sia per popolazione (1.339 abitanti) sia per superficie (43,44 km2), classificato E (Periferico). Distanza minima dal polo di 44,2 minuti.</w:t>
      </w:r>
    </w:p>
    <w:p>
      <w:pPr>
        <w:pStyle w:val="Heading1"/>
      </w:pPr>
      <w:r>
        <w:t>4. Analisi di accessibilità ai servizi</w:t>
      </w:r>
    </w:p>
    <w:p>
      <w:r>
        <w:t>Per approfondire la condizione di perifericità dei tre comuni, sono stati interrogati gli indicatori sintetici di accessibilità ai servizi (hex-intelligence, dati aggregati per comune, regione Puglia, 257 comuni totali). Gli indicatori misurano il numero di servizi raggiungibili in 15 minuti, con due diverse modalità di trasporto: auto (traffico reale) per sanità e ospedali, a piedi per istruzione e cultura. Per ciascun comune sono riportati il valore dell'indicatore, la posizione in classifica (rank) su 257 comuni pugliesi e il percentile (100 = migliore posizione regionale, 0 = peggiore).</w:t>
      </w:r>
    </w:p>
    <w:p>
      <w:r>
        <w:t>Valori medi e mediani calcolati su tutti i 257 comuni della regione Puglia, tramite script Python eseguito sui dati restituiti dal tool: media sanità 9,32, mediana sanità 6,54; media istruzione 5,62, mediana istruzione 2,98; media cultura 3,01, mediana cultura 1,83; media ospedali 0,29, mediana ospedali 0,0017.</w:t>
      </w:r>
    </w:p>
    <w:p>
      <w:pPr>
        <w:pStyle w:val="Heading2"/>
      </w:pPr>
      <w:r>
        <w:t>4.1 Servizi sanitari raggiungibili in 15 minuti (trasporto privato)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rPr>
                <w:b/>
              </w:rPr>
              <w:t>Comune</w:t>
            </w:r>
          </w:p>
        </w:tc>
        <w:tc>
          <w:tcPr>
            <w:tcW w:type="dxa" w:w="2160"/>
          </w:tcPr>
          <w:p>
            <w:r>
              <w:rPr>
                <w:b/>
              </w:rPr>
              <w:t>Valore</w:t>
            </w:r>
          </w:p>
        </w:tc>
        <w:tc>
          <w:tcPr>
            <w:tcW w:type="dxa" w:w="2160"/>
          </w:tcPr>
          <w:p>
            <w:r>
              <w:rPr>
                <w:b/>
              </w:rPr>
              <w:t>Rank su 257</w:t>
            </w:r>
          </w:p>
        </w:tc>
        <w:tc>
          <w:tcPr>
            <w:tcW w:type="dxa" w:w="2160"/>
          </w:tcPr>
          <w:p>
            <w:r>
              <w:rPr>
                <w:b/>
              </w:rPr>
              <w:t>Percentile</w:t>
            </w:r>
          </w:p>
        </w:tc>
      </w:tr>
      <w:tr>
        <w:tc>
          <w:tcPr>
            <w:tcW w:type="dxa" w:w="2160"/>
          </w:tcPr>
          <w:p>
            <w:r>
              <w:t>Minervino Murge</w:t>
            </w:r>
          </w:p>
        </w:tc>
        <w:tc>
          <w:tcPr>
            <w:tcW w:type="dxa" w:w="2160"/>
          </w:tcPr>
          <w:p>
            <w:r>
              <w:t>0,99</w:t>
            </w:r>
          </w:p>
        </w:tc>
        <w:tc>
          <w:tcPr>
            <w:tcW w:type="dxa" w:w="2160"/>
          </w:tcPr>
          <w:p>
            <w:r>
              <w:t>216</w:t>
            </w:r>
          </w:p>
        </w:tc>
        <w:tc>
          <w:tcPr>
            <w:tcW w:type="dxa" w:w="2160"/>
          </w:tcPr>
          <w:p>
            <w:r>
              <w:t>16,0</w:t>
            </w:r>
          </w:p>
        </w:tc>
      </w:tr>
      <w:tr>
        <w:tc>
          <w:tcPr>
            <w:tcW w:type="dxa" w:w="2160"/>
          </w:tcPr>
          <w:p>
            <w:r>
              <w:t>Spinazzola</w:t>
            </w:r>
          </w:p>
        </w:tc>
        <w:tc>
          <w:tcPr>
            <w:tcW w:type="dxa" w:w="2160"/>
          </w:tcPr>
          <w:p>
            <w:r>
              <w:t>1,00</w:t>
            </w:r>
          </w:p>
        </w:tc>
        <w:tc>
          <w:tcPr>
            <w:tcW w:type="dxa" w:w="2160"/>
          </w:tcPr>
          <w:p>
            <w:r>
              <w:t>212</w:t>
            </w:r>
          </w:p>
        </w:tc>
        <w:tc>
          <w:tcPr>
            <w:tcW w:type="dxa" w:w="2160"/>
          </w:tcPr>
          <w:p>
            <w:r>
              <w:t>17,6</w:t>
            </w:r>
          </w:p>
        </w:tc>
      </w:tr>
      <w:tr>
        <w:tc>
          <w:tcPr>
            <w:tcW w:type="dxa" w:w="2160"/>
          </w:tcPr>
          <w:p>
            <w:r>
              <w:t>Poggiorsini</w:t>
            </w:r>
          </w:p>
        </w:tc>
        <w:tc>
          <w:tcPr>
            <w:tcW w:type="dxa" w:w="2160"/>
          </w:tcPr>
          <w:p>
            <w:r>
              <w:t>0,00</w:t>
            </w:r>
          </w:p>
        </w:tc>
        <w:tc>
          <w:tcPr>
            <w:tcW w:type="dxa" w:w="2160"/>
          </w:tcPr>
          <w:p>
            <w:r>
              <w:t>252</w:t>
            </w:r>
          </w:p>
        </w:tc>
        <w:tc>
          <w:tcPr>
            <w:tcW w:type="dxa" w:w="2160"/>
          </w:tcPr>
          <w:p>
            <w:r>
              <w:t>2,0</w:t>
            </w:r>
          </w:p>
        </w:tc>
      </w:tr>
    </w:tbl>
    <w:p/>
    <w:p>
      <w:pPr>
        <w:pStyle w:val="Heading2"/>
      </w:pPr>
      <w:r>
        <w:t>4.2 Strutture educative raggiungibili in 15 minuti a piedi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rPr>
                <w:b/>
              </w:rPr>
              <w:t>Comune</w:t>
            </w:r>
          </w:p>
        </w:tc>
        <w:tc>
          <w:tcPr>
            <w:tcW w:type="dxa" w:w="2160"/>
          </w:tcPr>
          <w:p>
            <w:r>
              <w:rPr>
                <w:b/>
              </w:rPr>
              <w:t>Valore</w:t>
            </w:r>
          </w:p>
        </w:tc>
        <w:tc>
          <w:tcPr>
            <w:tcW w:type="dxa" w:w="2160"/>
          </w:tcPr>
          <w:p>
            <w:r>
              <w:rPr>
                <w:b/>
              </w:rPr>
              <w:t>Rank su 257</w:t>
            </w:r>
          </w:p>
        </w:tc>
        <w:tc>
          <w:tcPr>
            <w:tcW w:type="dxa" w:w="2160"/>
          </w:tcPr>
          <w:p>
            <w:r>
              <w:rPr>
                <w:b/>
              </w:rPr>
              <w:t>Percentile</w:t>
            </w:r>
          </w:p>
        </w:tc>
      </w:tr>
      <w:tr>
        <w:tc>
          <w:tcPr>
            <w:tcW w:type="dxa" w:w="2160"/>
          </w:tcPr>
          <w:p>
            <w:r>
              <w:t>Minervino Murge</w:t>
            </w:r>
          </w:p>
        </w:tc>
        <w:tc>
          <w:tcPr>
            <w:tcW w:type="dxa" w:w="2160"/>
          </w:tcPr>
          <w:p>
            <w:r>
              <w:t>0,00</w:t>
            </w:r>
          </w:p>
        </w:tc>
        <w:tc>
          <w:tcPr>
            <w:tcW w:type="dxa" w:w="2160"/>
          </w:tcPr>
          <w:p>
            <w:r>
              <w:t>233</w:t>
            </w:r>
          </w:p>
        </w:tc>
        <w:tc>
          <w:tcPr>
            <w:tcW w:type="dxa" w:w="2160"/>
          </w:tcPr>
          <w:p>
            <w:r>
              <w:t>9,4</w:t>
            </w:r>
          </w:p>
        </w:tc>
      </w:tr>
      <w:tr>
        <w:tc>
          <w:tcPr>
            <w:tcW w:type="dxa" w:w="2160"/>
          </w:tcPr>
          <w:p>
            <w:r>
              <w:t>Spinazzola</w:t>
            </w:r>
          </w:p>
        </w:tc>
        <w:tc>
          <w:tcPr>
            <w:tcW w:type="dxa" w:w="2160"/>
          </w:tcPr>
          <w:p>
            <w:r>
              <w:t>3,03</w:t>
            </w:r>
          </w:p>
        </w:tc>
        <w:tc>
          <w:tcPr>
            <w:tcW w:type="dxa" w:w="2160"/>
          </w:tcPr>
          <w:p>
            <w:r>
              <w:t>126</w:t>
            </w:r>
          </w:p>
        </w:tc>
        <w:tc>
          <w:tcPr>
            <w:tcW w:type="dxa" w:w="2160"/>
          </w:tcPr>
          <w:p>
            <w:r>
              <w:t>51,2</w:t>
            </w:r>
          </w:p>
        </w:tc>
      </w:tr>
      <w:tr>
        <w:tc>
          <w:tcPr>
            <w:tcW w:type="dxa" w:w="2160"/>
          </w:tcPr>
          <w:p>
            <w:r>
              <w:t>Poggiorsini</w:t>
            </w:r>
          </w:p>
        </w:tc>
        <w:tc>
          <w:tcPr>
            <w:tcW w:type="dxa" w:w="2160"/>
          </w:tcPr>
          <w:p>
            <w:r>
              <w:t>0,97</w:t>
            </w:r>
          </w:p>
        </w:tc>
        <w:tc>
          <w:tcPr>
            <w:tcW w:type="dxa" w:w="2160"/>
          </w:tcPr>
          <w:p>
            <w:r>
              <w:t>184</w:t>
            </w:r>
          </w:p>
        </w:tc>
        <w:tc>
          <w:tcPr>
            <w:tcW w:type="dxa" w:w="2160"/>
          </w:tcPr>
          <w:p>
            <w:r>
              <w:t>28,5</w:t>
            </w:r>
          </w:p>
        </w:tc>
      </w:tr>
    </w:tbl>
    <w:p/>
    <w:p>
      <w:pPr>
        <w:pStyle w:val="Heading2"/>
      </w:pPr>
      <w:r>
        <w:t>4.3 Luoghi culturali raggiungibili in 15 minuti a piedi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rPr>
                <w:b/>
              </w:rPr>
              <w:t>Comune</w:t>
            </w:r>
          </w:p>
        </w:tc>
        <w:tc>
          <w:tcPr>
            <w:tcW w:type="dxa" w:w="2160"/>
          </w:tcPr>
          <w:p>
            <w:r>
              <w:rPr>
                <w:b/>
              </w:rPr>
              <w:t>Valore</w:t>
            </w:r>
          </w:p>
        </w:tc>
        <w:tc>
          <w:tcPr>
            <w:tcW w:type="dxa" w:w="2160"/>
          </w:tcPr>
          <w:p>
            <w:r>
              <w:rPr>
                <w:b/>
              </w:rPr>
              <w:t>Rank su 257</w:t>
            </w:r>
          </w:p>
        </w:tc>
        <w:tc>
          <w:tcPr>
            <w:tcW w:type="dxa" w:w="2160"/>
          </w:tcPr>
          <w:p>
            <w:r>
              <w:rPr>
                <w:b/>
              </w:rPr>
              <w:t>Percentile</w:t>
            </w:r>
          </w:p>
        </w:tc>
      </w:tr>
      <w:tr>
        <w:tc>
          <w:tcPr>
            <w:tcW w:type="dxa" w:w="2160"/>
          </w:tcPr>
          <w:p>
            <w:r>
              <w:t>Minervino Murge</w:t>
            </w:r>
          </w:p>
        </w:tc>
        <w:tc>
          <w:tcPr>
            <w:tcW w:type="dxa" w:w="2160"/>
          </w:tcPr>
          <w:p>
            <w:r>
              <w:t>0,83</w:t>
            </w:r>
          </w:p>
        </w:tc>
        <w:tc>
          <w:tcPr>
            <w:tcW w:type="dxa" w:w="2160"/>
          </w:tcPr>
          <w:p>
            <w:r>
              <w:t>189</w:t>
            </w:r>
          </w:p>
        </w:tc>
        <w:tc>
          <w:tcPr>
            <w:tcW w:type="dxa" w:w="2160"/>
          </w:tcPr>
          <w:p>
            <w:r>
              <w:t>26,6</w:t>
            </w:r>
          </w:p>
        </w:tc>
      </w:tr>
      <w:tr>
        <w:tc>
          <w:tcPr>
            <w:tcW w:type="dxa" w:w="2160"/>
          </w:tcPr>
          <w:p>
            <w:r>
              <w:t>Spinazzola</w:t>
            </w:r>
          </w:p>
        </w:tc>
        <w:tc>
          <w:tcPr>
            <w:tcW w:type="dxa" w:w="2160"/>
          </w:tcPr>
          <w:p>
            <w:r>
              <w:t>1,74</w:t>
            </w:r>
          </w:p>
        </w:tc>
        <w:tc>
          <w:tcPr>
            <w:tcW w:type="dxa" w:w="2160"/>
          </w:tcPr>
          <w:p>
            <w:r>
              <w:t>135</w:t>
            </w:r>
          </w:p>
        </w:tc>
        <w:tc>
          <w:tcPr>
            <w:tcW w:type="dxa" w:w="2160"/>
          </w:tcPr>
          <w:p>
            <w:r>
              <w:t>47,7</w:t>
            </w:r>
          </w:p>
        </w:tc>
      </w:tr>
      <w:tr>
        <w:tc>
          <w:tcPr>
            <w:tcW w:type="dxa" w:w="2160"/>
          </w:tcPr>
          <w:p>
            <w:r>
              <w:t>Poggiorsini</w:t>
            </w:r>
          </w:p>
        </w:tc>
        <w:tc>
          <w:tcPr>
            <w:tcW w:type="dxa" w:w="2160"/>
          </w:tcPr>
          <w:p>
            <w:r>
              <w:t>0,97</w:t>
            </w:r>
          </w:p>
        </w:tc>
        <w:tc>
          <w:tcPr>
            <w:tcW w:type="dxa" w:w="2160"/>
          </w:tcPr>
          <w:p>
            <w:r>
              <w:t>167</w:t>
            </w:r>
          </w:p>
        </w:tc>
        <w:tc>
          <w:tcPr>
            <w:tcW w:type="dxa" w:w="2160"/>
          </w:tcPr>
          <w:p>
            <w:r>
              <w:t>35,2</w:t>
            </w:r>
          </w:p>
        </w:tc>
      </w:tr>
    </w:tbl>
    <w:p/>
    <w:p>
      <w:pPr>
        <w:pStyle w:val="Heading2"/>
      </w:pPr>
      <w:r>
        <w:t>4.4 Ospedali raggiungibili in 15 minuti (trasporto privato)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rPr>
                <w:b/>
              </w:rPr>
              <w:t>Comune</w:t>
            </w:r>
          </w:p>
        </w:tc>
        <w:tc>
          <w:tcPr>
            <w:tcW w:type="dxa" w:w="2160"/>
          </w:tcPr>
          <w:p>
            <w:r>
              <w:rPr>
                <w:b/>
              </w:rPr>
              <w:t>Valore</w:t>
            </w:r>
          </w:p>
        </w:tc>
        <w:tc>
          <w:tcPr>
            <w:tcW w:type="dxa" w:w="2160"/>
          </w:tcPr>
          <w:p>
            <w:r>
              <w:rPr>
                <w:b/>
              </w:rPr>
              <w:t>Rank su 257</w:t>
            </w:r>
          </w:p>
        </w:tc>
        <w:tc>
          <w:tcPr>
            <w:tcW w:type="dxa" w:w="2160"/>
          </w:tcPr>
          <w:p>
            <w:r>
              <w:rPr>
                <w:b/>
              </w:rPr>
              <w:t>Percentile</w:t>
            </w:r>
          </w:p>
        </w:tc>
      </w:tr>
      <w:tr>
        <w:tc>
          <w:tcPr>
            <w:tcW w:type="dxa" w:w="2160"/>
          </w:tcPr>
          <w:p>
            <w:r>
              <w:t>Minervino Murge</w:t>
            </w:r>
          </w:p>
        </w:tc>
        <w:tc>
          <w:tcPr>
            <w:tcW w:type="dxa" w:w="2160"/>
          </w:tcPr>
          <w:p>
            <w:r>
              <w:t>0,00</w:t>
            </w:r>
          </w:p>
        </w:tc>
        <w:tc>
          <w:tcPr>
            <w:tcW w:type="dxa" w:w="2160"/>
          </w:tcPr>
          <w:p>
            <w:r>
              <w:t>155</w:t>
            </w:r>
          </w:p>
        </w:tc>
        <w:tc>
          <w:tcPr>
            <w:tcW w:type="dxa" w:w="2160"/>
          </w:tcPr>
          <w:p>
            <w:r>
              <w:t>39,8</w:t>
            </w:r>
          </w:p>
        </w:tc>
      </w:tr>
      <w:tr>
        <w:tc>
          <w:tcPr>
            <w:tcW w:type="dxa" w:w="2160"/>
          </w:tcPr>
          <w:p>
            <w:r>
              <w:t>Spinazzola</w:t>
            </w:r>
          </w:p>
        </w:tc>
        <w:tc>
          <w:tcPr>
            <w:tcW w:type="dxa" w:w="2160"/>
          </w:tcPr>
          <w:p>
            <w:r>
              <w:t>0,00</w:t>
            </w:r>
          </w:p>
        </w:tc>
        <w:tc>
          <w:tcPr>
            <w:tcW w:type="dxa" w:w="2160"/>
          </w:tcPr>
          <w:p>
            <w:r>
              <w:t>159</w:t>
            </w:r>
          </w:p>
        </w:tc>
        <w:tc>
          <w:tcPr>
            <w:tcW w:type="dxa" w:w="2160"/>
          </w:tcPr>
          <w:p>
            <w:r>
              <w:t>38,3</w:t>
            </w:r>
          </w:p>
        </w:tc>
      </w:tr>
      <w:tr>
        <w:tc>
          <w:tcPr>
            <w:tcW w:type="dxa" w:w="2160"/>
          </w:tcPr>
          <w:p>
            <w:r>
              <w:t>Poggiorsini</w:t>
            </w:r>
          </w:p>
        </w:tc>
        <w:tc>
          <w:tcPr>
            <w:tcW w:type="dxa" w:w="2160"/>
          </w:tcPr>
          <w:p>
            <w:r>
              <w:t>0,00</w:t>
            </w:r>
          </w:p>
        </w:tc>
        <w:tc>
          <w:tcPr>
            <w:tcW w:type="dxa" w:w="2160"/>
          </w:tcPr>
          <w:p>
            <w:r>
              <w:t>171</w:t>
            </w:r>
          </w:p>
        </w:tc>
        <w:tc>
          <w:tcPr>
            <w:tcW w:type="dxa" w:w="2160"/>
          </w:tcPr>
          <w:p>
            <w:r>
              <w:t>33,6</w:t>
            </w:r>
          </w:p>
        </w:tc>
      </w:tr>
    </w:tbl>
    <w:p/>
    <w:p>
      <w:pPr>
        <w:pStyle w:val="Heading1"/>
      </w:pPr>
      <w:r>
        <w:t>5. Considerazioni di sintesi</w:t>
      </w:r>
    </w:p>
    <w:p>
      <w:r>
        <w:t>Sull'accessibilità sanitaria di base, tutti e tre i comuni si collocano nel quintile più basso della regione Puglia; Poggiorsini è il caso più critico, penultimo su 257 comuni.</w:t>
      </w:r>
    </w:p>
    <w:p>
      <w:r>
        <w:t>Nessuno dei tre comuni ha un ospedale raggiungibile in 15 minuti in auto, condizione comunque condivisa dalla maggioranza dei comuni pugliesi (mediana regionale pressoché nulla).</w:t>
      </w:r>
    </w:p>
    <w:p>
      <w:r>
        <w:t>Spinazzola, pur essendo il comune più distante dal polo di riferimento (45 minuti), presenta i valori di accessibilità a istruzione e cultura più vicini alla mediana regionale tra i tre comuni.</w:t>
      </w:r>
    </w:p>
    <w:p>
      <w:r>
        <w:t>Minervino Murge, unico comune classificato D e più vicino al polo, registra il valore peggiore in assoluto su istruzione tra i tre comuni (0 strutture raggiungibili a piedi in 15 minuti).</w:t>
      </w:r>
    </w:p>
    <w:p>
      <w:r>
        <w:t>Nota metodologica: gli indicatori di sanità e ospedali sono calcolati con trasporto privato, quelli di istruzione e cultura a piedi; i due gruppi di indicatori non sono quindi direttamente confrontabili tra loro in termini di soglia di distanza.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