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F868" w14:textId="050F97A9" w:rsidR="000874DF" w:rsidRDefault="000874DF" w:rsidP="000874DF">
      <w:pPr>
        <w:pStyle w:val="NormaleWeb"/>
        <w:jc w:val="center"/>
      </w:pPr>
      <w:r>
        <w:rPr>
          <w:rFonts w:ascii="TimesNewRomanPS" w:hAnsi="TimesNewRomanPS"/>
          <w:b/>
          <w:bCs/>
          <w:sz w:val="32"/>
          <w:szCs w:val="32"/>
        </w:rPr>
        <w:t>7. Unobserved heterogeneity (‘frailty’)</w:t>
      </w:r>
    </w:p>
    <w:p w14:paraId="4060A83A" w14:textId="77777777" w:rsidR="000874DF" w:rsidRDefault="000874DF" w:rsidP="000874DF">
      <w:pPr>
        <w:pStyle w:val="NormaleWeb"/>
        <w:numPr>
          <w:ilvl w:val="0"/>
          <w:numId w:val="1"/>
        </w:numPr>
      </w:pPr>
      <w:r>
        <w:rPr>
          <w:rFonts w:ascii="TimesNewRomanPS" w:hAnsi="TimesNewRomanPS"/>
          <w:b/>
          <w:bCs/>
          <w:sz w:val="28"/>
          <w:szCs w:val="28"/>
        </w:rPr>
        <w:t xml:space="preserve">Aim </w:t>
      </w:r>
    </w:p>
    <w:p w14:paraId="57228EA3" w14:textId="77777777" w:rsidR="000874DF" w:rsidRPr="000874DF" w:rsidRDefault="000874DF" w:rsidP="000874DF">
      <w:pPr>
        <w:pStyle w:val="NormaleWeb"/>
        <w:rPr>
          <w:lang w:val="en-US"/>
        </w:rPr>
      </w:pPr>
      <w:r w:rsidRPr="000874DF">
        <w:rPr>
          <w:rFonts w:ascii="TimesNewRomanPSMT" w:hAnsi="TimesNewRomanPSMT"/>
          <w:lang w:val="en-US"/>
        </w:rPr>
        <w:t xml:space="preserve">The aim of this Lesson is to show how to estimate models incorporating unobserved heterogeneity (or ‘frailty’ as biostatisticians label it). </w:t>
      </w:r>
    </w:p>
    <w:p w14:paraId="63C6EDB0" w14:textId="4B353E33" w:rsidR="000874DF" w:rsidRDefault="000874DF" w:rsidP="000874DF">
      <w:pPr>
        <w:pStyle w:val="NormaleWeb"/>
        <w:numPr>
          <w:ilvl w:val="0"/>
          <w:numId w:val="1"/>
        </w:numPr>
      </w:pPr>
      <w:r>
        <w:rPr>
          <w:rFonts w:ascii="TimesNewRomanPS" w:hAnsi="TimesNewRomanPS"/>
          <w:b/>
          <w:bCs/>
          <w:sz w:val="28"/>
          <w:szCs w:val="28"/>
        </w:rPr>
        <w:t xml:space="preserve">Introduction </w:t>
      </w:r>
    </w:p>
    <w:p w14:paraId="6199570C" w14:textId="77777777" w:rsidR="000874DF" w:rsidRPr="000874DF" w:rsidRDefault="000874DF" w:rsidP="000874DF">
      <w:pPr>
        <w:pStyle w:val="NormaleWeb"/>
        <w:rPr>
          <w:lang w:val="en-US"/>
        </w:rPr>
      </w:pPr>
      <w:r w:rsidRPr="000874DF">
        <w:rPr>
          <w:rFonts w:ascii="TimesNewRomanPSMT" w:hAnsi="TimesNewRomanPSMT"/>
          <w:lang w:val="en-US"/>
        </w:rPr>
        <w:t xml:space="preserve">The models considered in this Lesson are a generalisation of those that we considered in Lessons 5 and 6. </w:t>
      </w:r>
    </w:p>
    <w:p w14:paraId="52AD4698" w14:textId="1B061999" w:rsidR="000874DF" w:rsidRDefault="000874DF" w:rsidP="000874DF">
      <w:pPr>
        <w:pStyle w:val="NormaleWeb"/>
        <w:numPr>
          <w:ilvl w:val="1"/>
          <w:numId w:val="1"/>
        </w:numPr>
      </w:pPr>
      <w:r>
        <w:rPr>
          <w:rFonts w:ascii="TimesNewRomanPS" w:hAnsi="TimesNewRomanPS"/>
          <w:b/>
          <w:bCs/>
        </w:rPr>
        <w:t xml:space="preserve">Model specification </w:t>
      </w:r>
    </w:p>
    <w:p w14:paraId="5C7A09E3" w14:textId="77777777" w:rsidR="000874DF" w:rsidRPr="000874DF" w:rsidRDefault="000874DF" w:rsidP="000874DF">
      <w:pPr>
        <w:pStyle w:val="NormaleWeb"/>
        <w:rPr>
          <w:lang w:val="en-US"/>
        </w:rPr>
      </w:pPr>
      <w:r w:rsidRPr="000874DF">
        <w:rPr>
          <w:rFonts w:ascii="TimesNewRomanPSMT" w:hAnsi="TimesNewRomanPSMT"/>
          <w:lang w:val="en-US"/>
        </w:rPr>
        <w:t xml:space="preserve">For the continuous time parametric models that we estimated in Lesson 5, we now write the hazard rate for each observation as </w:t>
      </w:r>
    </w:p>
    <w:p w14:paraId="62A024C7" w14:textId="77777777" w:rsidR="000874DF" w:rsidRPr="000874DF" w:rsidRDefault="000874DF" w:rsidP="000874DF">
      <w:pPr>
        <w:pStyle w:val="NormaleWeb"/>
        <w:jc w:val="center"/>
        <w:rPr>
          <w:rFonts w:ascii="TimesNewRomanPS" w:hAnsi="TimesNewRomanPS"/>
          <w:i/>
          <w:iCs/>
          <w:lang w:val="en-US"/>
        </w:rPr>
      </w:pPr>
      <w:r>
        <w:rPr>
          <w:rFonts w:ascii="TimesNewRomanPSMT" w:hAnsi="TimesNewRomanPSMT"/>
        </w:rPr>
        <w:t>θ</w:t>
      </w:r>
      <w:r w:rsidRPr="000874DF">
        <w:rPr>
          <w:rFonts w:ascii="TimesNewRomanPS" w:hAnsi="TimesNewRomanPS"/>
          <w:i/>
          <w:iCs/>
          <w:position w:val="-4"/>
          <w:sz w:val="16"/>
          <w:szCs w:val="16"/>
          <w:lang w:val="en-US"/>
        </w:rPr>
        <w:t>v</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w:t>
      </w:r>
      <w:r w:rsidRPr="000874DF">
        <w:rPr>
          <w:rFonts w:ascii="TimesNewRomanPS" w:hAnsi="TimesNewRomanPS"/>
          <w:i/>
          <w:iCs/>
          <w:lang w:val="en-US"/>
        </w:rPr>
        <w:t>X</w:t>
      </w:r>
      <w:r w:rsidRPr="000874DF">
        <w:rPr>
          <w:rFonts w:ascii="TimesNewRomanPSMT" w:hAnsi="TimesNewRomanPSMT"/>
          <w:lang w:val="en-US"/>
        </w:rPr>
        <w:t xml:space="preserve">) ≡ </w:t>
      </w:r>
      <w:r>
        <w:rPr>
          <w:rFonts w:ascii="TimesNewRomanPSMT" w:hAnsi="TimesNewRomanPSMT"/>
        </w:rPr>
        <w:t>θ</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w:t>
      </w:r>
      <w:r w:rsidRPr="000874DF">
        <w:rPr>
          <w:rFonts w:ascii="TimesNewRomanPS" w:hAnsi="TimesNewRomanPS"/>
          <w:i/>
          <w:iCs/>
          <w:lang w:val="en-US"/>
        </w:rPr>
        <w:t>X</w:t>
      </w:r>
      <w:r w:rsidRPr="000874DF">
        <w:rPr>
          <w:rFonts w:ascii="TimesNewRomanPSMT" w:hAnsi="TimesNewRomanPSMT"/>
          <w:lang w:val="en-US"/>
        </w:rPr>
        <w:t>|</w:t>
      </w:r>
      <w:r w:rsidRPr="000874DF">
        <w:rPr>
          <w:rFonts w:ascii="TimesNewRomanPS" w:hAnsi="TimesNewRomanPS"/>
          <w:i/>
          <w:iCs/>
          <w:lang w:val="en-US"/>
        </w:rPr>
        <w:t>v</w:t>
      </w:r>
      <w:r w:rsidRPr="000874DF">
        <w:rPr>
          <w:rFonts w:ascii="TimesNewRomanPSMT" w:hAnsi="TimesNewRomanPSMT"/>
          <w:lang w:val="en-US"/>
        </w:rPr>
        <w:t>)=</w:t>
      </w:r>
      <w:r>
        <w:rPr>
          <w:rFonts w:ascii="TimesNewRomanPSMT" w:hAnsi="TimesNewRomanPSMT"/>
        </w:rPr>
        <w:t>θ</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w:t>
      </w:r>
      <w:r w:rsidRPr="000874DF">
        <w:rPr>
          <w:rFonts w:ascii="TimesNewRomanPS" w:hAnsi="TimesNewRomanPS"/>
          <w:i/>
          <w:iCs/>
          <w:lang w:val="en-US"/>
        </w:rPr>
        <w:t>X</w:t>
      </w:r>
      <w:r w:rsidRPr="000874DF">
        <w:rPr>
          <w:rFonts w:ascii="TimesNewRomanPSMT" w:hAnsi="TimesNewRomanPSMT"/>
          <w:lang w:val="en-US"/>
        </w:rPr>
        <w:t>).</w:t>
      </w:r>
      <w:r w:rsidRPr="000874DF">
        <w:rPr>
          <w:rFonts w:ascii="TimesNewRomanPS" w:hAnsi="TimesNewRomanPS"/>
          <w:i/>
          <w:iCs/>
          <w:lang w:val="en-US"/>
        </w:rPr>
        <w:t>v</w:t>
      </w:r>
    </w:p>
    <w:p w14:paraId="0D66C1A2" w14:textId="5A1AC097" w:rsidR="000874DF" w:rsidRPr="000874DF" w:rsidRDefault="000874DF" w:rsidP="000874DF">
      <w:pPr>
        <w:pStyle w:val="NormaleWeb"/>
        <w:jc w:val="both"/>
        <w:rPr>
          <w:lang w:val="en-US"/>
        </w:rPr>
      </w:pPr>
      <w:r w:rsidRPr="000874DF">
        <w:rPr>
          <w:rFonts w:ascii="TimesNewRomanPS" w:hAnsi="TimesNewRomanPS"/>
          <w:i/>
          <w:iCs/>
          <w:lang w:val="en-US"/>
        </w:rPr>
        <w:br/>
      </w:r>
      <w:r w:rsidRPr="000874DF">
        <w:rPr>
          <w:rFonts w:ascii="TimesNewRomanPSMT" w:hAnsi="TimesNewRomanPSMT"/>
          <w:lang w:val="en-US"/>
        </w:rPr>
        <w:t xml:space="preserve">where </w:t>
      </w:r>
      <w:r>
        <w:rPr>
          <w:rFonts w:ascii="TimesNewRomanPSMT" w:hAnsi="TimesNewRomanPSMT"/>
        </w:rPr>
        <w:t>θ</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w:t>
      </w:r>
      <w:r w:rsidRPr="000874DF">
        <w:rPr>
          <w:rFonts w:ascii="TimesNewRomanPS" w:hAnsi="TimesNewRomanPS"/>
          <w:i/>
          <w:iCs/>
          <w:lang w:val="en-US"/>
        </w:rPr>
        <w:t>X</w:t>
      </w:r>
      <w:r w:rsidRPr="000874DF">
        <w:rPr>
          <w:rFonts w:ascii="TimesNewRomanPSMT" w:hAnsi="TimesNewRomanPSMT"/>
          <w:lang w:val="en-US"/>
        </w:rPr>
        <w:t xml:space="preserve">) is the hazard function considered earlier (and assuming an absence of time-varying covariates for now). Thus unobserved differences between observations are introduced via a multiplicative scaling factor, </w:t>
      </w:r>
      <w:r w:rsidRPr="000874DF">
        <w:rPr>
          <w:rFonts w:ascii="TimesNewRomanPS" w:hAnsi="TimesNewRomanPS"/>
          <w:i/>
          <w:iCs/>
          <w:lang w:val="en-US"/>
        </w:rPr>
        <w:t>v</w:t>
      </w:r>
      <w:r w:rsidRPr="000874DF">
        <w:rPr>
          <w:rFonts w:ascii="TimesNewRomanPSMT" w:hAnsi="TimesNewRomanPSMT"/>
          <w:lang w:val="en-US"/>
        </w:rPr>
        <w:t xml:space="preserve">. This is a random variable taking on positive values, with the mean normalised to one (for identification reasons) and finite variance </w:t>
      </w:r>
      <w:r>
        <w:rPr>
          <w:rFonts w:ascii="TimesNewRomanPSMT" w:hAnsi="TimesNewRomanPSMT"/>
        </w:rPr>
        <w:t>σ</w:t>
      </w:r>
      <w:r w:rsidRPr="000874DF">
        <w:rPr>
          <w:rFonts w:ascii="TimesNewRomanPSMT" w:hAnsi="TimesNewRomanPSMT"/>
          <w:position w:val="12"/>
          <w:sz w:val="16"/>
          <w:szCs w:val="16"/>
          <w:lang w:val="en-US"/>
        </w:rPr>
        <w:t>2</w:t>
      </w:r>
      <w:r w:rsidRPr="000874DF">
        <w:rPr>
          <w:rFonts w:ascii="TimesNewRomanPSMT" w:hAnsi="TimesNewRomanPSMT"/>
          <w:lang w:val="en-US"/>
        </w:rPr>
        <w:t xml:space="preserve">. A crucial assumption in these models is that </w:t>
      </w:r>
      <w:r w:rsidRPr="000874DF">
        <w:rPr>
          <w:rFonts w:ascii="TimesNewRomanPS" w:hAnsi="TimesNewRomanPS"/>
          <w:i/>
          <w:iCs/>
          <w:lang w:val="en-US"/>
        </w:rPr>
        <w:t xml:space="preserve">v </w:t>
      </w:r>
      <w:r w:rsidRPr="000874DF">
        <w:rPr>
          <w:rFonts w:ascii="TimesNewRomanPSMT" w:hAnsi="TimesNewRomanPSMT"/>
          <w:lang w:val="en-US"/>
        </w:rPr>
        <w:t xml:space="preserve">is distributed independently of </w:t>
      </w:r>
      <w:r w:rsidRPr="000874DF">
        <w:rPr>
          <w:rFonts w:ascii="TimesNewRomanPS" w:hAnsi="TimesNewRomanPS"/>
          <w:i/>
          <w:iCs/>
          <w:lang w:val="en-US"/>
        </w:rPr>
        <w:t xml:space="preserve">X </w:t>
      </w:r>
      <w:r w:rsidRPr="000874DF">
        <w:rPr>
          <w:rFonts w:ascii="TimesNewRomanPSMT" w:hAnsi="TimesNewRomanPSMT"/>
          <w:lang w:val="en-US"/>
        </w:rPr>
        <w:t xml:space="preserve">and </w:t>
      </w:r>
      <w:r w:rsidRPr="000874DF">
        <w:rPr>
          <w:rFonts w:ascii="TimesNewRomanPS" w:hAnsi="TimesNewRomanPS"/>
          <w:i/>
          <w:iCs/>
          <w:lang w:val="en-US"/>
        </w:rPr>
        <w:t>t</w:t>
      </w:r>
      <w:r w:rsidRPr="000874DF">
        <w:rPr>
          <w:rFonts w:ascii="TimesNewRomanPSMT" w:hAnsi="TimesNewRomanPSMT"/>
          <w:lang w:val="en-US"/>
        </w:rPr>
        <w:t xml:space="preserve">. </w:t>
      </w:r>
    </w:p>
    <w:p w14:paraId="5963B9EE" w14:textId="24AD20F9" w:rsidR="000874DF" w:rsidRPr="000874DF" w:rsidRDefault="000874DF" w:rsidP="000874DF">
      <w:pPr>
        <w:pStyle w:val="NormaleWeb"/>
        <w:jc w:val="both"/>
        <w:rPr>
          <w:lang w:val="en-US"/>
        </w:rPr>
      </w:pPr>
      <w:r w:rsidRPr="000874DF">
        <w:rPr>
          <w:rFonts w:ascii="TimesNewRomanPSMT" w:hAnsi="TimesNewRomanPSMT"/>
          <w:lang w:val="en-US"/>
        </w:rPr>
        <w:t xml:space="preserve">It can be shown that the frailty survivor function is related to the non-frailty one by </w:t>
      </w:r>
      <w:r>
        <w:rPr>
          <w:lang w:val="en-US"/>
        </w:rPr>
        <w:t>t</w:t>
      </w:r>
      <w:r w:rsidRPr="000874DF">
        <w:rPr>
          <w:rFonts w:ascii="TimesNewRomanPSMT" w:hAnsi="TimesNewRomanPSMT"/>
          <w:lang w:val="en-US"/>
        </w:rPr>
        <w:t>he relationship:</w:t>
      </w:r>
      <w:r w:rsidRPr="000874DF">
        <w:rPr>
          <w:rFonts w:ascii="TimesNewRomanPSMT" w:hAnsi="TimesNewRomanPSMT"/>
          <w:lang w:val="en-US"/>
        </w:rPr>
        <w:br/>
        <w:t xml:space="preserve">Thus unobserved differences also imply a scaling of the non-frailty survivor function. </w:t>
      </w:r>
    </w:p>
    <w:p w14:paraId="41E5F32A" w14:textId="77777777" w:rsidR="000874DF" w:rsidRDefault="000874DF" w:rsidP="000874DF">
      <w:pPr>
        <w:pStyle w:val="NormaleWeb"/>
        <w:jc w:val="center"/>
        <w:rPr>
          <w:rFonts w:ascii="TimesNewRomanPSMT" w:hAnsi="TimesNewRomanPSMT"/>
          <w:lang w:val="en-US"/>
        </w:rPr>
      </w:pPr>
      <w:r w:rsidRPr="000874DF">
        <w:rPr>
          <w:rFonts w:ascii="TimesNewRomanPS" w:hAnsi="TimesNewRomanPS"/>
          <w:i/>
          <w:iCs/>
          <w:lang w:val="en-US"/>
        </w:rPr>
        <w:t>S</w:t>
      </w:r>
      <w:r w:rsidRPr="000874DF">
        <w:rPr>
          <w:rFonts w:ascii="TimesNewRomanPS" w:hAnsi="TimesNewRomanPS"/>
          <w:i/>
          <w:iCs/>
          <w:position w:val="-4"/>
          <w:sz w:val="16"/>
          <w:szCs w:val="16"/>
          <w:lang w:val="en-US"/>
        </w:rPr>
        <w:t>v</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w:t>
      </w:r>
      <w:r w:rsidRPr="000874DF">
        <w:rPr>
          <w:rFonts w:ascii="TimesNewRomanPS" w:hAnsi="TimesNewRomanPS"/>
          <w:i/>
          <w:iCs/>
          <w:lang w:val="en-US"/>
        </w:rPr>
        <w:t>X</w:t>
      </w:r>
      <w:r w:rsidRPr="000874DF">
        <w:rPr>
          <w:rFonts w:ascii="TimesNewRomanPSMT" w:hAnsi="TimesNewRomanPSMT"/>
          <w:lang w:val="en-US"/>
        </w:rPr>
        <w:t xml:space="preserve">) ≡ </w:t>
      </w:r>
      <w:r w:rsidRPr="000874DF">
        <w:rPr>
          <w:rFonts w:ascii="TimesNewRomanPS" w:hAnsi="TimesNewRomanPS"/>
          <w:i/>
          <w:iCs/>
          <w:lang w:val="en-US"/>
        </w:rPr>
        <w:t>S</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w:t>
      </w:r>
      <w:r w:rsidRPr="000874DF">
        <w:rPr>
          <w:rFonts w:ascii="TimesNewRomanPS" w:hAnsi="TimesNewRomanPS"/>
          <w:i/>
          <w:iCs/>
          <w:lang w:val="en-US"/>
        </w:rPr>
        <w:t>X</w:t>
      </w:r>
      <w:r w:rsidRPr="000874DF">
        <w:rPr>
          <w:rFonts w:ascii="TimesNewRomanPSMT" w:hAnsi="TimesNewRomanPSMT"/>
          <w:lang w:val="en-US"/>
        </w:rPr>
        <w:t>|</w:t>
      </w:r>
      <w:r w:rsidRPr="000874DF">
        <w:rPr>
          <w:rFonts w:ascii="TimesNewRomanPS" w:hAnsi="TimesNewRomanPS"/>
          <w:i/>
          <w:iCs/>
          <w:lang w:val="en-US"/>
        </w:rPr>
        <w:t>v</w:t>
      </w:r>
      <w:r w:rsidRPr="000874DF">
        <w:rPr>
          <w:rFonts w:ascii="TimesNewRomanPSMT" w:hAnsi="TimesNewRomanPSMT"/>
          <w:lang w:val="en-US"/>
        </w:rPr>
        <w:t>) = [</w:t>
      </w:r>
      <w:r w:rsidRPr="000874DF">
        <w:rPr>
          <w:rFonts w:ascii="TimesNewRomanPS" w:hAnsi="TimesNewRomanPS"/>
          <w:i/>
          <w:iCs/>
          <w:lang w:val="en-US"/>
        </w:rPr>
        <w:t>S</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w:t>
      </w:r>
      <w:r w:rsidRPr="000874DF">
        <w:rPr>
          <w:rFonts w:ascii="TimesNewRomanPS" w:hAnsi="TimesNewRomanPS"/>
          <w:i/>
          <w:iCs/>
          <w:lang w:val="en-US"/>
        </w:rPr>
        <w:t>X</w:t>
      </w:r>
      <w:r w:rsidRPr="000874DF">
        <w:rPr>
          <w:rFonts w:ascii="TimesNewRomanPSMT" w:hAnsi="TimesNewRomanPSMT"/>
          <w:lang w:val="en-US"/>
        </w:rPr>
        <w:t>)]</w:t>
      </w:r>
      <w:r w:rsidRPr="000874DF">
        <w:rPr>
          <w:rFonts w:ascii="TimesNewRomanPS" w:hAnsi="TimesNewRomanPS"/>
          <w:i/>
          <w:iCs/>
          <w:position w:val="12"/>
          <w:sz w:val="16"/>
          <w:szCs w:val="16"/>
          <w:lang w:val="en-US"/>
        </w:rPr>
        <w:t>v</w:t>
      </w:r>
      <w:r w:rsidRPr="000874DF">
        <w:rPr>
          <w:rFonts w:ascii="TimesNewRomanPSMT" w:hAnsi="TimesNewRomanPSMT"/>
          <w:lang w:val="en-US"/>
        </w:rPr>
        <w:t>.</w:t>
      </w:r>
    </w:p>
    <w:p w14:paraId="095640ED" w14:textId="20D6C44E" w:rsidR="000874DF" w:rsidRPr="000874DF" w:rsidRDefault="000874DF" w:rsidP="000874DF">
      <w:pPr>
        <w:pStyle w:val="NormaleWeb"/>
        <w:rPr>
          <w:lang w:val="en-US"/>
        </w:rPr>
      </w:pPr>
      <w:r w:rsidRPr="000874DF">
        <w:rPr>
          <w:rFonts w:ascii="TimesNewRomanPSMT" w:hAnsi="TimesNewRomanPSMT"/>
          <w:lang w:val="en-US"/>
        </w:rPr>
        <w:br/>
        <w:t xml:space="preserve">Observe that, for proportional hazards models, the frailty hazard rate may be written as or </w:t>
      </w:r>
    </w:p>
    <w:p w14:paraId="4D0584FC" w14:textId="7F98E39B" w:rsidR="000874DF" w:rsidRPr="000874DF" w:rsidRDefault="000874DF" w:rsidP="000874DF">
      <w:pPr>
        <w:pStyle w:val="NormaleWeb"/>
        <w:jc w:val="center"/>
        <w:rPr>
          <w:lang w:val="en-US"/>
        </w:rPr>
      </w:pPr>
      <w:r>
        <w:rPr>
          <w:rFonts w:ascii="TimesNewRomanPSMT" w:hAnsi="TimesNewRomanPSMT"/>
        </w:rPr>
        <w:t>θ</w:t>
      </w:r>
      <w:r w:rsidRPr="000874DF">
        <w:rPr>
          <w:rFonts w:ascii="TimesNewRomanPS" w:hAnsi="TimesNewRomanPS"/>
          <w:i/>
          <w:iCs/>
          <w:position w:val="-4"/>
          <w:sz w:val="16"/>
          <w:szCs w:val="16"/>
          <w:lang w:val="en-US"/>
        </w:rPr>
        <w:t>v</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w:t>
      </w:r>
      <w:r w:rsidRPr="000874DF">
        <w:rPr>
          <w:rFonts w:ascii="TimesNewRomanPS" w:hAnsi="TimesNewRomanPS"/>
          <w:i/>
          <w:iCs/>
          <w:lang w:val="en-US"/>
        </w:rPr>
        <w:t>X</w:t>
      </w:r>
      <w:r w:rsidRPr="000874DF">
        <w:rPr>
          <w:rFonts w:ascii="TimesNewRomanPSMT" w:hAnsi="TimesNewRomanPSMT"/>
          <w:lang w:val="en-US"/>
        </w:rPr>
        <w:t xml:space="preserve">) ≡ </w:t>
      </w:r>
      <w:r>
        <w:rPr>
          <w:rFonts w:ascii="TimesNewRomanPSMT" w:hAnsi="TimesNewRomanPSMT"/>
        </w:rPr>
        <w:t>θ</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w:t>
      </w:r>
      <w:r w:rsidRPr="000874DF">
        <w:rPr>
          <w:rFonts w:ascii="TimesNewRomanPS" w:hAnsi="TimesNewRomanPS"/>
          <w:i/>
          <w:iCs/>
          <w:lang w:val="en-US"/>
        </w:rPr>
        <w:t xml:space="preserve">X </w:t>
      </w:r>
      <w:r w:rsidRPr="000874DF">
        <w:rPr>
          <w:rFonts w:ascii="TimesNewRomanPSMT" w:hAnsi="TimesNewRomanPSMT"/>
          <w:lang w:val="en-US"/>
        </w:rPr>
        <w:t xml:space="preserve">| </w:t>
      </w:r>
      <w:r>
        <w:rPr>
          <w:rFonts w:ascii="TimesNewRomanPSMT" w:hAnsi="TimesNewRomanPSMT"/>
        </w:rPr>
        <w:t>β</w:t>
      </w:r>
      <w:r w:rsidRPr="000874DF">
        <w:rPr>
          <w:rFonts w:ascii="TimesNewRomanPSMT" w:hAnsi="TimesNewRomanPSMT"/>
          <w:lang w:val="en-US"/>
        </w:rPr>
        <w:t xml:space="preserve">, </w:t>
      </w:r>
      <w:r w:rsidRPr="000874DF">
        <w:rPr>
          <w:rFonts w:ascii="TimesNewRomanPS" w:hAnsi="TimesNewRomanPS"/>
          <w:i/>
          <w:iCs/>
          <w:lang w:val="en-US"/>
        </w:rPr>
        <w:t>v</w:t>
      </w:r>
      <w:r w:rsidRPr="000874DF">
        <w:rPr>
          <w:rFonts w:ascii="TimesNewRomanPSMT" w:hAnsi="TimesNewRomanPSMT"/>
          <w:lang w:val="en-US"/>
        </w:rPr>
        <w:t xml:space="preserve">) = </w:t>
      </w:r>
      <w:r>
        <w:rPr>
          <w:rFonts w:ascii="TimesNewRomanPSMT" w:hAnsi="TimesNewRomanPSMT"/>
        </w:rPr>
        <w:t>θ</w:t>
      </w:r>
      <w:r w:rsidRPr="000874DF">
        <w:rPr>
          <w:rFonts w:ascii="TimesNewRomanPSMT" w:hAnsi="TimesNewRomanPSMT"/>
          <w:position w:val="-4"/>
          <w:sz w:val="16"/>
          <w:szCs w:val="16"/>
          <w:lang w:val="en-US"/>
        </w:rPr>
        <w:t>0</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).exp(</w:t>
      </w:r>
      <w:r>
        <w:rPr>
          <w:rFonts w:ascii="TimesNewRomanPSMT" w:hAnsi="TimesNewRomanPSMT"/>
        </w:rPr>
        <w:t>β</w:t>
      </w:r>
      <w:r w:rsidRPr="000874DF">
        <w:rPr>
          <w:rFonts w:ascii="TimesNewRomanPSMT" w:hAnsi="TimesNewRomanPSMT"/>
          <w:lang w:val="en-US"/>
        </w:rPr>
        <w:t>′</w:t>
      </w:r>
      <w:r w:rsidRPr="000874DF">
        <w:rPr>
          <w:rFonts w:ascii="TimesNewRomanPS" w:hAnsi="TimesNewRomanPS"/>
          <w:i/>
          <w:iCs/>
          <w:lang w:val="en-US"/>
        </w:rPr>
        <w:t>X</w:t>
      </w:r>
      <w:r w:rsidRPr="000874DF">
        <w:rPr>
          <w:rFonts w:ascii="TimesNewRomanPSMT" w:hAnsi="TimesNewRomanPSMT"/>
          <w:lang w:val="en-US"/>
        </w:rPr>
        <w:t>).</w:t>
      </w:r>
      <w:r w:rsidRPr="000874DF">
        <w:rPr>
          <w:rFonts w:ascii="TimesNewRomanPS" w:hAnsi="TimesNewRomanPS"/>
          <w:i/>
          <w:iCs/>
          <w:lang w:val="en-US"/>
        </w:rPr>
        <w:t xml:space="preserve">v </w:t>
      </w:r>
      <w:r w:rsidRPr="000874DF">
        <w:rPr>
          <w:rFonts w:ascii="TimesNewRomanPSMT" w:hAnsi="TimesNewRomanPSMT"/>
          <w:lang w:val="en-US"/>
        </w:rPr>
        <w:t xml:space="preserve">= </w:t>
      </w:r>
      <w:r>
        <w:rPr>
          <w:rFonts w:ascii="TimesNewRomanPSMT" w:hAnsi="TimesNewRomanPSMT"/>
        </w:rPr>
        <w:t>θ</w:t>
      </w:r>
      <w:r w:rsidRPr="000874DF">
        <w:rPr>
          <w:rFonts w:ascii="TimesNewRomanPSMT" w:hAnsi="TimesNewRomanPSMT"/>
          <w:position w:val="-4"/>
          <w:sz w:val="16"/>
          <w:szCs w:val="16"/>
          <w:lang w:val="en-US"/>
        </w:rPr>
        <w:t>0</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).exp(</w:t>
      </w:r>
      <w:r>
        <w:rPr>
          <w:rFonts w:ascii="TimesNewRomanPSMT" w:hAnsi="TimesNewRomanPSMT"/>
        </w:rPr>
        <w:t>β</w:t>
      </w:r>
      <w:r w:rsidRPr="000874DF">
        <w:rPr>
          <w:rFonts w:ascii="TimesNewRomanPSMT" w:hAnsi="TimesNewRomanPSMT"/>
          <w:lang w:val="en-US"/>
        </w:rPr>
        <w:t>′</w:t>
      </w:r>
      <w:r w:rsidRPr="000874DF">
        <w:rPr>
          <w:rFonts w:ascii="TimesNewRomanPS" w:hAnsi="TimesNewRomanPS"/>
          <w:i/>
          <w:iCs/>
          <w:lang w:val="en-US"/>
        </w:rPr>
        <w:t xml:space="preserve">X </w:t>
      </w:r>
      <w:r w:rsidRPr="000874DF">
        <w:rPr>
          <w:rFonts w:ascii="TimesNewRomanPSMT" w:hAnsi="TimesNewRomanPSMT"/>
          <w:lang w:val="en-US"/>
        </w:rPr>
        <w:t xml:space="preserve">+ </w:t>
      </w:r>
      <w:r w:rsidRPr="000874DF">
        <w:rPr>
          <w:rFonts w:ascii="TimesNewRomanPS" w:hAnsi="TimesNewRomanPS"/>
          <w:i/>
          <w:iCs/>
          <w:lang w:val="en-US"/>
        </w:rPr>
        <w:t>u</w:t>
      </w:r>
      <w:r w:rsidRPr="000874DF">
        <w:rPr>
          <w:rFonts w:ascii="TimesNewRomanPSMT" w:hAnsi="TimesNewRomanPSMT"/>
          <w:lang w:val="en-US"/>
        </w:rPr>
        <w:t>)</w:t>
      </w:r>
    </w:p>
    <w:p w14:paraId="60B055C0" w14:textId="77777777" w:rsidR="0077182A" w:rsidRDefault="000874DF" w:rsidP="0077182A">
      <w:pPr>
        <w:pStyle w:val="NormaleWeb"/>
        <w:jc w:val="center"/>
        <w:rPr>
          <w:rFonts w:ascii="TimesNewRomanPS" w:hAnsi="TimesNewRomanPS"/>
          <w:i/>
          <w:iCs/>
          <w:lang w:val="en-US"/>
        </w:rPr>
      </w:pPr>
      <w:r w:rsidRPr="000874DF">
        <w:rPr>
          <w:rFonts w:ascii="TimesNewRomanPSMT" w:hAnsi="TimesNewRomanPSMT"/>
          <w:lang w:val="en-US"/>
        </w:rPr>
        <w:t>ln[</w:t>
      </w:r>
      <w:r>
        <w:rPr>
          <w:rFonts w:ascii="TimesNewRomanPSMT" w:hAnsi="TimesNewRomanPSMT"/>
        </w:rPr>
        <w:t>θ</w:t>
      </w:r>
      <w:r w:rsidRPr="000874DF">
        <w:rPr>
          <w:rFonts w:ascii="TimesNewRomanPS" w:hAnsi="TimesNewRomanPS"/>
          <w:i/>
          <w:iCs/>
          <w:position w:val="-4"/>
          <w:sz w:val="16"/>
          <w:szCs w:val="16"/>
          <w:lang w:val="en-US"/>
        </w:rPr>
        <w:t>v</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w:t>
      </w:r>
      <w:r w:rsidRPr="000874DF">
        <w:rPr>
          <w:rFonts w:ascii="TimesNewRomanPS" w:hAnsi="TimesNewRomanPS"/>
          <w:i/>
          <w:iCs/>
          <w:lang w:val="en-US"/>
        </w:rPr>
        <w:t>X</w:t>
      </w:r>
      <w:r w:rsidRPr="000874DF">
        <w:rPr>
          <w:rFonts w:ascii="TimesNewRomanPSMT" w:hAnsi="TimesNewRomanPSMT"/>
          <w:lang w:val="en-US"/>
        </w:rPr>
        <w:t>)] = ln[</w:t>
      </w:r>
      <w:r>
        <w:rPr>
          <w:rFonts w:ascii="TimesNewRomanPSMT" w:hAnsi="TimesNewRomanPSMT"/>
        </w:rPr>
        <w:t>θ</w:t>
      </w:r>
      <w:r w:rsidRPr="000874DF">
        <w:rPr>
          <w:rFonts w:ascii="TimesNewRomanPSMT" w:hAnsi="TimesNewRomanPSMT"/>
          <w:position w:val="-4"/>
          <w:sz w:val="16"/>
          <w:szCs w:val="16"/>
          <w:lang w:val="en-US"/>
        </w:rPr>
        <w:t>0</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 </w:t>
      </w:r>
      <w:r>
        <w:rPr>
          <w:rFonts w:ascii="TimesNewRomanPSMT" w:hAnsi="TimesNewRomanPSMT"/>
        </w:rPr>
        <w:t>β</w:t>
      </w:r>
      <w:r w:rsidRPr="000874DF">
        <w:rPr>
          <w:rFonts w:ascii="TimesNewRomanPSMT" w:hAnsi="TimesNewRomanPSMT"/>
          <w:lang w:val="en-US"/>
        </w:rPr>
        <w:t>′</w:t>
      </w:r>
      <w:r w:rsidRPr="000874DF">
        <w:rPr>
          <w:rFonts w:ascii="TimesNewRomanPS" w:hAnsi="TimesNewRomanPS"/>
          <w:i/>
          <w:iCs/>
          <w:lang w:val="en-US"/>
        </w:rPr>
        <w:t xml:space="preserve">X </w:t>
      </w:r>
      <w:r w:rsidRPr="000874DF">
        <w:rPr>
          <w:rFonts w:ascii="TimesNewRomanPSMT" w:hAnsi="TimesNewRomanPSMT"/>
          <w:lang w:val="en-US"/>
        </w:rPr>
        <w:t xml:space="preserve">+ </w:t>
      </w:r>
      <w:r w:rsidRPr="000874DF">
        <w:rPr>
          <w:rFonts w:ascii="TimesNewRomanPS" w:hAnsi="TimesNewRomanPS"/>
          <w:i/>
          <w:iCs/>
          <w:lang w:val="en-US"/>
        </w:rPr>
        <w:t>u</w:t>
      </w:r>
    </w:p>
    <w:p w14:paraId="095000B9" w14:textId="3B344E65" w:rsidR="000874DF" w:rsidRPr="000874DF" w:rsidRDefault="000874DF" w:rsidP="0077182A">
      <w:pPr>
        <w:pStyle w:val="NormaleWeb"/>
        <w:jc w:val="both"/>
        <w:rPr>
          <w:lang w:val="en-US"/>
        </w:rPr>
      </w:pPr>
      <w:r w:rsidRPr="000874DF">
        <w:rPr>
          <w:rFonts w:ascii="TimesNewRomanPS" w:hAnsi="TimesNewRomanPS"/>
          <w:i/>
          <w:iCs/>
          <w:lang w:val="en-US"/>
        </w:rPr>
        <w:br/>
      </w:r>
      <w:r w:rsidRPr="000874DF">
        <w:rPr>
          <w:rFonts w:ascii="TimesNewRomanPSMT" w:hAnsi="TimesNewRomanPSMT"/>
          <w:lang w:val="en-US"/>
        </w:rPr>
        <w:t xml:space="preserve">where </w:t>
      </w:r>
      <w:r>
        <w:rPr>
          <w:rFonts w:ascii="TimesNewRomanPSMT" w:hAnsi="TimesNewRomanPSMT"/>
        </w:rPr>
        <w:t>θ</w:t>
      </w:r>
      <w:r w:rsidRPr="000874DF">
        <w:rPr>
          <w:rFonts w:ascii="TimesNewRomanPSMT" w:hAnsi="TimesNewRomanPSMT"/>
          <w:position w:val="-4"/>
          <w:sz w:val="16"/>
          <w:szCs w:val="16"/>
          <w:lang w:val="en-US"/>
        </w:rPr>
        <w:t>0</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is the baseline hazard function and the ‘error’ term </w:t>
      </w:r>
      <w:r w:rsidRPr="000874DF">
        <w:rPr>
          <w:rFonts w:ascii="TimesNewRomanPS" w:hAnsi="TimesNewRomanPS"/>
          <w:i/>
          <w:iCs/>
          <w:lang w:val="en-US"/>
        </w:rPr>
        <w:t xml:space="preserve">u </w:t>
      </w:r>
      <w:r w:rsidRPr="000874DF">
        <w:rPr>
          <w:rFonts w:ascii="TimesNewRomanPSMT" w:hAnsi="TimesNewRomanPSMT"/>
          <w:lang w:val="en-US"/>
        </w:rPr>
        <w:t>≡ ln(</w:t>
      </w:r>
      <w:r w:rsidRPr="000874DF">
        <w:rPr>
          <w:rFonts w:ascii="TimesNewRomanPS" w:hAnsi="TimesNewRomanPS"/>
          <w:i/>
          <w:iCs/>
          <w:lang w:val="en-US"/>
        </w:rPr>
        <w:t>v</w:t>
      </w:r>
      <w:r w:rsidRPr="000874DF">
        <w:rPr>
          <w:rFonts w:ascii="TimesNewRomanPSMT" w:hAnsi="TimesNewRomanPSMT"/>
          <w:lang w:val="en-US"/>
        </w:rPr>
        <w:t>) which is random variable with a mean of zero.</w:t>
      </w:r>
    </w:p>
    <w:p w14:paraId="5D387DC4" w14:textId="1F5897A2" w:rsidR="000874DF" w:rsidRPr="000874DF" w:rsidRDefault="000874DF" w:rsidP="0077182A">
      <w:pPr>
        <w:pStyle w:val="NormaleWeb"/>
        <w:jc w:val="both"/>
        <w:rPr>
          <w:lang w:val="en-US"/>
        </w:rPr>
      </w:pPr>
      <w:r w:rsidRPr="000874DF">
        <w:rPr>
          <w:rFonts w:ascii="TimesNewRomanPSMT" w:hAnsi="TimesNewRomanPSMT"/>
          <w:lang w:val="en-US"/>
        </w:rPr>
        <w:t xml:space="preserve">The random variable </w:t>
      </w:r>
      <w:r w:rsidRPr="000874DF">
        <w:rPr>
          <w:rFonts w:ascii="TimesNewRomanPS" w:hAnsi="TimesNewRomanPS"/>
          <w:i/>
          <w:iCs/>
          <w:lang w:val="en-US"/>
        </w:rPr>
        <w:t>v</w:t>
      </w:r>
      <w:r w:rsidRPr="000874DF">
        <w:rPr>
          <w:rFonts w:ascii="TimesNewRomanPSMT" w:hAnsi="TimesNewRomanPSMT"/>
          <w:lang w:val="en-US"/>
        </w:rPr>
        <w:t xml:space="preserve">, or equivalently </w:t>
      </w:r>
      <w:r w:rsidRPr="000874DF">
        <w:rPr>
          <w:rFonts w:ascii="TimesNewRomanPS" w:hAnsi="TimesNewRomanPS"/>
          <w:i/>
          <w:iCs/>
          <w:lang w:val="en-US"/>
        </w:rPr>
        <w:t>u</w:t>
      </w:r>
      <w:r w:rsidRPr="000874DF">
        <w:rPr>
          <w:rFonts w:ascii="TimesNewRomanPSMT" w:hAnsi="TimesNewRomanPSMT"/>
          <w:lang w:val="en-US"/>
        </w:rPr>
        <w:t xml:space="preserve">, may be interpreted in several ways. The most common one is that it summarises the impact of ‘omitted variables’ on the hazard rate – whether the missing regressors are intrinsically unobservable or simply unobserved in the data set to hand. Alternative interpretations can be offered in terms of errors of measurement in recorded regressors or recorded survival times  </w:t>
      </w:r>
    </w:p>
    <w:p w14:paraId="5B3DA9C2" w14:textId="77777777" w:rsidR="000874DF" w:rsidRPr="000874DF" w:rsidRDefault="000874DF" w:rsidP="0077182A">
      <w:pPr>
        <w:pStyle w:val="NormaleWeb"/>
        <w:jc w:val="both"/>
        <w:rPr>
          <w:lang w:val="en-US"/>
        </w:rPr>
      </w:pPr>
      <w:r w:rsidRPr="000874DF">
        <w:rPr>
          <w:rFonts w:ascii="TimesNewRomanPSMT" w:hAnsi="TimesNewRomanPSMT"/>
          <w:lang w:val="en-US"/>
        </w:rPr>
        <w:t xml:space="preserve">In the discrete time proportional hazards model, the model specification follows directly from above. The standard cloglog model generalises to: </w:t>
      </w:r>
    </w:p>
    <w:p w14:paraId="21B388EE" w14:textId="77777777" w:rsidR="000874DF" w:rsidRPr="000874DF" w:rsidRDefault="000874DF" w:rsidP="000874DF">
      <w:pPr>
        <w:pStyle w:val="NormaleWeb"/>
        <w:jc w:val="center"/>
        <w:rPr>
          <w:rFonts w:ascii="TimesNewRomanPS" w:hAnsi="TimesNewRomanPS"/>
          <w:i/>
          <w:iCs/>
          <w:lang w:val="en-US"/>
        </w:rPr>
      </w:pPr>
      <w:r w:rsidRPr="000874DF">
        <w:rPr>
          <w:rFonts w:ascii="TimesNewRomanPSMT" w:hAnsi="TimesNewRomanPSMT"/>
          <w:lang w:val="en-US"/>
        </w:rPr>
        <w:lastRenderedPageBreak/>
        <w:t>cloglog[</w:t>
      </w:r>
      <w:r w:rsidRPr="000874DF">
        <w:rPr>
          <w:rFonts w:ascii="TimesNewRomanPS" w:hAnsi="TimesNewRomanPS"/>
          <w:i/>
          <w:iCs/>
          <w:lang w:val="en-US"/>
        </w:rPr>
        <w:t>p</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w:t>
      </w:r>
      <w:r w:rsidRPr="000874DF">
        <w:rPr>
          <w:rFonts w:ascii="TimesNewRomanPS" w:hAnsi="TimesNewRomanPS"/>
          <w:i/>
          <w:iCs/>
          <w:lang w:val="en-US"/>
        </w:rPr>
        <w:t xml:space="preserve">X </w:t>
      </w:r>
      <w:r w:rsidRPr="000874DF">
        <w:rPr>
          <w:rFonts w:ascii="TimesNewRomanPSMT" w:hAnsi="TimesNewRomanPSMT"/>
          <w:lang w:val="en-US"/>
        </w:rPr>
        <w:t xml:space="preserve">| </w:t>
      </w:r>
      <w:r>
        <w:rPr>
          <w:rFonts w:ascii="TimesNewRomanPSMT" w:hAnsi="TimesNewRomanPSMT"/>
        </w:rPr>
        <w:t>β</w:t>
      </w:r>
      <w:r w:rsidRPr="000874DF">
        <w:rPr>
          <w:rFonts w:ascii="TimesNewRomanPSMT" w:hAnsi="TimesNewRomanPSMT"/>
          <w:lang w:val="en-US"/>
        </w:rPr>
        <w:t xml:space="preserve">, </w:t>
      </w:r>
      <w:r w:rsidRPr="000874DF">
        <w:rPr>
          <w:rFonts w:ascii="TimesNewRomanPS" w:hAnsi="TimesNewRomanPS"/>
          <w:i/>
          <w:iCs/>
          <w:lang w:val="en-US"/>
        </w:rPr>
        <w:t>v</w:t>
      </w:r>
      <w:r w:rsidRPr="000874DF">
        <w:rPr>
          <w:rFonts w:ascii="TimesNewRomanPSMT" w:hAnsi="TimesNewRomanPSMT"/>
          <w:lang w:val="en-US"/>
        </w:rPr>
        <w:t xml:space="preserve">)] = </w:t>
      </w:r>
      <w:r w:rsidRPr="000874DF">
        <w:rPr>
          <w:rFonts w:ascii="TimesNewRomanPS" w:hAnsi="TimesNewRomanPS"/>
          <w:i/>
          <w:iCs/>
          <w:lang w:val="en-US"/>
        </w:rPr>
        <w:t>D</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 </w:t>
      </w:r>
      <w:r>
        <w:rPr>
          <w:rFonts w:ascii="TimesNewRomanPSMT" w:hAnsi="TimesNewRomanPSMT"/>
        </w:rPr>
        <w:t>β</w:t>
      </w:r>
      <w:r w:rsidRPr="000874DF">
        <w:rPr>
          <w:rFonts w:ascii="TimesNewRomanPSMT" w:hAnsi="TimesNewRomanPSMT"/>
          <w:lang w:val="en-US"/>
        </w:rPr>
        <w:t>′</w:t>
      </w:r>
      <w:r w:rsidRPr="000874DF">
        <w:rPr>
          <w:rFonts w:ascii="TimesNewRomanPS" w:hAnsi="TimesNewRomanPS"/>
          <w:i/>
          <w:iCs/>
          <w:lang w:val="en-US"/>
        </w:rPr>
        <w:t xml:space="preserve">X </w:t>
      </w:r>
      <w:r w:rsidRPr="000874DF">
        <w:rPr>
          <w:rFonts w:ascii="TimesNewRomanPSMT" w:hAnsi="TimesNewRomanPSMT"/>
          <w:lang w:val="en-US"/>
        </w:rPr>
        <w:t xml:space="preserve">+ </w:t>
      </w:r>
      <w:r w:rsidRPr="000874DF">
        <w:rPr>
          <w:rFonts w:ascii="TimesNewRomanPS" w:hAnsi="TimesNewRomanPS"/>
          <w:i/>
          <w:iCs/>
          <w:lang w:val="en-US"/>
        </w:rPr>
        <w:t>u</w:t>
      </w:r>
    </w:p>
    <w:p w14:paraId="67A66458" w14:textId="24BDD57B" w:rsidR="000874DF" w:rsidRPr="000874DF" w:rsidRDefault="000874DF" w:rsidP="000874DF">
      <w:pPr>
        <w:pStyle w:val="NormaleWeb"/>
        <w:rPr>
          <w:lang w:val="en-US"/>
        </w:rPr>
      </w:pPr>
      <w:r w:rsidRPr="000874DF">
        <w:rPr>
          <w:rFonts w:ascii="TimesNewRomanPS" w:hAnsi="TimesNewRomanPS"/>
          <w:i/>
          <w:iCs/>
          <w:lang w:val="en-US"/>
        </w:rPr>
        <w:br/>
      </w:r>
      <w:r w:rsidRPr="000874DF">
        <w:rPr>
          <w:rFonts w:ascii="TimesNewRomanPSMT" w:hAnsi="TimesNewRomanPSMT"/>
          <w:lang w:val="en-US"/>
        </w:rPr>
        <w:t xml:space="preserve">where </w:t>
      </w:r>
      <w:r w:rsidRPr="000874DF">
        <w:rPr>
          <w:rFonts w:ascii="TimesNewRomanPS" w:hAnsi="TimesNewRomanPS"/>
          <w:i/>
          <w:iCs/>
          <w:lang w:val="en-US"/>
        </w:rPr>
        <w:t>D</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characterises the baseline hazard function. The logistic hazard regression </w:t>
      </w:r>
    </w:p>
    <w:p w14:paraId="7564813F" w14:textId="77777777" w:rsidR="000874DF" w:rsidRPr="000874DF" w:rsidRDefault="000874DF" w:rsidP="000874DF">
      <w:pPr>
        <w:pStyle w:val="NormaleWeb"/>
        <w:rPr>
          <w:lang w:val="en-US"/>
        </w:rPr>
      </w:pPr>
      <w:r w:rsidRPr="000874DF">
        <w:rPr>
          <w:rFonts w:ascii="TimesNewRomanPSMT" w:hAnsi="TimesNewRomanPSMT"/>
          <w:lang w:val="en-US"/>
        </w:rPr>
        <w:t>model is typically generalised in an analogous way: logit[</w:t>
      </w:r>
      <w:r w:rsidRPr="000874DF">
        <w:rPr>
          <w:rFonts w:ascii="TimesNewRomanPS" w:hAnsi="TimesNewRomanPS"/>
          <w:i/>
          <w:iCs/>
          <w:lang w:val="en-US"/>
        </w:rPr>
        <w:t>p</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w:t>
      </w:r>
      <w:r w:rsidRPr="000874DF">
        <w:rPr>
          <w:rFonts w:ascii="TimesNewRomanPS" w:hAnsi="TimesNewRomanPS"/>
          <w:i/>
          <w:iCs/>
          <w:lang w:val="en-US"/>
        </w:rPr>
        <w:t xml:space="preserve">X </w:t>
      </w:r>
      <w:r w:rsidRPr="000874DF">
        <w:rPr>
          <w:rFonts w:ascii="TimesNewRomanPSMT" w:hAnsi="TimesNewRomanPSMT"/>
          <w:lang w:val="en-US"/>
        </w:rPr>
        <w:t xml:space="preserve">| </w:t>
      </w:r>
      <w:r>
        <w:rPr>
          <w:rFonts w:ascii="TimesNewRomanPSMT" w:hAnsi="TimesNewRomanPSMT"/>
        </w:rPr>
        <w:t>β</w:t>
      </w:r>
      <w:r w:rsidRPr="000874DF">
        <w:rPr>
          <w:rFonts w:ascii="TimesNewRomanPSMT" w:hAnsi="TimesNewRomanPSMT"/>
          <w:lang w:val="en-US"/>
        </w:rPr>
        <w:t xml:space="preserve">, </w:t>
      </w:r>
      <w:r w:rsidRPr="000874DF">
        <w:rPr>
          <w:rFonts w:ascii="TimesNewRomanPS" w:hAnsi="TimesNewRomanPS"/>
          <w:i/>
          <w:iCs/>
          <w:lang w:val="en-US"/>
        </w:rPr>
        <w:t>v</w:t>
      </w:r>
      <w:r w:rsidRPr="000874DF">
        <w:rPr>
          <w:rFonts w:ascii="TimesNewRomanPSMT" w:hAnsi="TimesNewRomanPSMT"/>
          <w:lang w:val="en-US"/>
        </w:rPr>
        <w:t xml:space="preserve">)] = </w:t>
      </w:r>
      <w:r w:rsidRPr="000874DF">
        <w:rPr>
          <w:rFonts w:ascii="TimesNewRomanPS" w:hAnsi="TimesNewRomanPS"/>
          <w:i/>
          <w:iCs/>
          <w:lang w:val="en-US"/>
        </w:rPr>
        <w:t>D</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 </w:t>
      </w:r>
      <w:r>
        <w:rPr>
          <w:rFonts w:ascii="TimesNewRomanPSMT" w:hAnsi="TimesNewRomanPSMT"/>
        </w:rPr>
        <w:t>β</w:t>
      </w:r>
      <w:r w:rsidRPr="000874DF">
        <w:rPr>
          <w:rFonts w:ascii="TimesNewRomanPSMT" w:hAnsi="TimesNewRomanPSMT"/>
          <w:lang w:val="en-US"/>
        </w:rPr>
        <w:t>′</w:t>
      </w:r>
      <w:r w:rsidRPr="000874DF">
        <w:rPr>
          <w:rFonts w:ascii="TimesNewRomanPS" w:hAnsi="TimesNewRomanPS"/>
          <w:i/>
          <w:iCs/>
          <w:lang w:val="en-US"/>
        </w:rPr>
        <w:t xml:space="preserve">X </w:t>
      </w:r>
      <w:r w:rsidRPr="000874DF">
        <w:rPr>
          <w:rFonts w:ascii="TimesNewRomanPSMT" w:hAnsi="TimesNewRomanPSMT"/>
          <w:lang w:val="en-US"/>
        </w:rPr>
        <w:t xml:space="preserve">+ </w:t>
      </w:r>
      <w:r w:rsidRPr="000874DF">
        <w:rPr>
          <w:rFonts w:ascii="TimesNewRomanPS" w:hAnsi="TimesNewRomanPS"/>
          <w:i/>
          <w:iCs/>
          <w:lang w:val="en-US"/>
        </w:rPr>
        <w:t xml:space="preserve">e </w:t>
      </w:r>
    </w:p>
    <w:p w14:paraId="2BBF42B4" w14:textId="77777777" w:rsidR="000874DF" w:rsidRPr="000874DF" w:rsidRDefault="000874DF" w:rsidP="0077182A">
      <w:pPr>
        <w:pStyle w:val="NormaleWeb"/>
        <w:jc w:val="both"/>
        <w:rPr>
          <w:lang w:val="en-US"/>
        </w:rPr>
      </w:pPr>
      <w:r w:rsidRPr="000874DF">
        <w:rPr>
          <w:rFonts w:ascii="TimesNewRomanPSMT" w:hAnsi="TimesNewRomanPSMT"/>
          <w:lang w:val="en-US"/>
        </w:rPr>
        <w:t xml:space="preserve">where the ‘error’ term </w:t>
      </w:r>
      <w:r w:rsidRPr="000874DF">
        <w:rPr>
          <w:rFonts w:ascii="TimesNewRomanPS" w:hAnsi="TimesNewRomanPS"/>
          <w:i/>
          <w:iCs/>
          <w:lang w:val="en-US"/>
        </w:rPr>
        <w:t xml:space="preserve">e </w:t>
      </w:r>
      <w:r w:rsidRPr="000874DF">
        <w:rPr>
          <w:rFonts w:ascii="TimesNewRomanPSMT" w:hAnsi="TimesNewRomanPSMT"/>
          <w:lang w:val="en-US"/>
        </w:rPr>
        <w:t xml:space="preserve">is a random variable with mean zero and finite variance. These are random intercept models where randomness is characterized using some parametric distribution (see below). </w:t>
      </w:r>
    </w:p>
    <w:p w14:paraId="636EADC2" w14:textId="77777777" w:rsidR="000874DF" w:rsidRPr="000874DF" w:rsidRDefault="000874DF" w:rsidP="0077182A">
      <w:pPr>
        <w:pStyle w:val="NormaleWeb"/>
        <w:jc w:val="both"/>
        <w:rPr>
          <w:lang w:val="en-US"/>
        </w:rPr>
      </w:pPr>
      <w:r w:rsidRPr="000874DF">
        <w:rPr>
          <w:rFonts w:ascii="TimesNewRomanPSMT" w:hAnsi="TimesNewRomanPSMT"/>
          <w:lang w:val="en-US"/>
        </w:rPr>
        <w:t xml:space="preserve">To estimate these models requires expressions for survival and density functions that do not condition on the unobserved effects for, since each individual </w:t>
      </w:r>
      <w:r w:rsidRPr="000874DF">
        <w:rPr>
          <w:rFonts w:ascii="TimesNewRomanPS" w:hAnsi="TimesNewRomanPS"/>
          <w:i/>
          <w:iCs/>
          <w:lang w:val="en-US"/>
        </w:rPr>
        <w:t xml:space="preserve">v </w:t>
      </w:r>
      <w:r w:rsidRPr="000874DF">
        <w:rPr>
          <w:rFonts w:ascii="TimesNewRomanPSMT" w:hAnsi="TimesNewRomanPSMT"/>
          <w:lang w:val="en-US"/>
        </w:rPr>
        <w:t xml:space="preserve">is unobserved, how could one write down the likelihood contribution for each observation? The way forward to specify a distribution for the </w:t>
      </w:r>
      <w:r w:rsidRPr="000874DF">
        <w:rPr>
          <w:rFonts w:ascii="TimesNewRomanPS" w:hAnsi="TimesNewRomanPS"/>
          <w:i/>
          <w:iCs/>
          <w:lang w:val="en-US"/>
        </w:rPr>
        <w:t>v</w:t>
      </w:r>
      <w:r w:rsidRPr="000874DF">
        <w:rPr>
          <w:rFonts w:ascii="TimesNewRomanPSMT" w:hAnsi="TimesNewRomanPSMT"/>
          <w:lang w:val="en-US"/>
        </w:rPr>
        <w:t xml:space="preserve">, where the distribution is characterised in terms of parameters (that can be estimated), and the unconditional survivor function is written in terms of this. This is known as ‘integrating out’ the unobserved effect. Referring to the example above, one works with survivor function </w:t>
      </w:r>
      <w:r w:rsidRPr="000874DF">
        <w:rPr>
          <w:rFonts w:ascii="TimesNewRomanPS" w:hAnsi="TimesNewRomanPS"/>
          <w:i/>
          <w:iCs/>
          <w:lang w:val="en-US"/>
        </w:rPr>
        <w:t>S</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w:t>
      </w:r>
      <w:r w:rsidRPr="000874DF">
        <w:rPr>
          <w:rFonts w:ascii="TimesNewRomanPS" w:hAnsi="TimesNewRomanPS"/>
          <w:i/>
          <w:iCs/>
          <w:lang w:val="en-US"/>
        </w:rPr>
        <w:t xml:space="preserve">X </w:t>
      </w:r>
      <w:r w:rsidRPr="000874DF">
        <w:rPr>
          <w:rFonts w:ascii="TimesNewRomanPSMT" w:hAnsi="TimesNewRomanPSMT"/>
          <w:lang w:val="en-US"/>
        </w:rPr>
        <w:t xml:space="preserve">| </w:t>
      </w:r>
      <w:r>
        <w:rPr>
          <w:rFonts w:ascii="TimesNewRomanPSMT" w:hAnsi="TimesNewRomanPSMT"/>
        </w:rPr>
        <w:t>β</w:t>
      </w:r>
      <w:r w:rsidRPr="000874DF">
        <w:rPr>
          <w:rFonts w:ascii="TimesNewRomanPSMT" w:hAnsi="TimesNewRomanPSMT"/>
          <w:lang w:val="en-US"/>
        </w:rPr>
        <w:t xml:space="preserve">, </w:t>
      </w:r>
      <w:r>
        <w:rPr>
          <w:rFonts w:ascii="TimesNewRomanPSMT" w:hAnsi="TimesNewRomanPSMT"/>
        </w:rPr>
        <w:t>σ</w:t>
      </w:r>
      <w:r w:rsidRPr="000874DF">
        <w:rPr>
          <w:rFonts w:ascii="TimesNewRomanPSMT" w:hAnsi="TimesNewRomanPSMT"/>
          <w:position w:val="12"/>
          <w:sz w:val="16"/>
          <w:szCs w:val="16"/>
          <w:lang w:val="en-US"/>
        </w:rPr>
        <w:t>2</w:t>
      </w:r>
      <w:r w:rsidRPr="000874DF">
        <w:rPr>
          <w:rFonts w:ascii="TimesNewRomanPSMT" w:hAnsi="TimesNewRomanPSMT"/>
          <w:lang w:val="en-US"/>
        </w:rPr>
        <w:t xml:space="preserve">) rather than </w:t>
      </w:r>
      <w:r w:rsidRPr="000874DF">
        <w:rPr>
          <w:rFonts w:ascii="TimesNewRomanPS" w:hAnsi="TimesNewRomanPS"/>
          <w:i/>
          <w:iCs/>
          <w:lang w:val="en-US"/>
        </w:rPr>
        <w:t>S</w:t>
      </w:r>
      <w:r w:rsidRPr="000874DF">
        <w:rPr>
          <w:rFonts w:ascii="TimesNewRomanPSMT" w:hAnsi="TimesNewRomanPSMT"/>
          <w:lang w:val="en-US"/>
        </w:rPr>
        <w:t>(</w:t>
      </w:r>
      <w:r w:rsidRPr="000874DF">
        <w:rPr>
          <w:rFonts w:ascii="TimesNewRomanPS" w:hAnsi="TimesNewRomanPS"/>
          <w:i/>
          <w:iCs/>
          <w:lang w:val="en-US"/>
        </w:rPr>
        <w:t>t</w:t>
      </w:r>
      <w:r w:rsidRPr="000874DF">
        <w:rPr>
          <w:rFonts w:ascii="TimesNewRomanPSMT" w:hAnsi="TimesNewRomanPSMT"/>
          <w:lang w:val="en-US"/>
        </w:rPr>
        <w:t xml:space="preserve">, </w:t>
      </w:r>
      <w:r w:rsidRPr="000874DF">
        <w:rPr>
          <w:rFonts w:ascii="TimesNewRomanPS" w:hAnsi="TimesNewRomanPS"/>
          <w:i/>
          <w:iCs/>
          <w:lang w:val="en-US"/>
        </w:rPr>
        <w:t xml:space="preserve">X </w:t>
      </w:r>
      <w:r w:rsidRPr="000874DF">
        <w:rPr>
          <w:rFonts w:ascii="TimesNewRomanPSMT" w:hAnsi="TimesNewRomanPSMT"/>
          <w:lang w:val="en-US"/>
        </w:rPr>
        <w:t xml:space="preserve">| </w:t>
      </w:r>
      <w:r>
        <w:rPr>
          <w:rFonts w:ascii="TimesNewRomanPSMT" w:hAnsi="TimesNewRomanPSMT"/>
        </w:rPr>
        <w:t>β</w:t>
      </w:r>
      <w:r w:rsidRPr="000874DF">
        <w:rPr>
          <w:rFonts w:ascii="TimesNewRomanPSMT" w:hAnsi="TimesNewRomanPSMT"/>
          <w:lang w:val="en-US"/>
        </w:rPr>
        <w:t xml:space="preserve">, </w:t>
      </w:r>
      <w:r w:rsidRPr="000874DF">
        <w:rPr>
          <w:rFonts w:ascii="TimesNewRomanPS" w:hAnsi="TimesNewRomanPS"/>
          <w:i/>
          <w:iCs/>
          <w:lang w:val="en-US"/>
        </w:rPr>
        <w:t>v</w:t>
      </w:r>
      <w:r w:rsidRPr="000874DF">
        <w:rPr>
          <w:rFonts w:ascii="TimesNewRomanPSMT" w:hAnsi="TimesNewRomanPSMT"/>
          <w:lang w:val="en-US"/>
        </w:rPr>
        <w:t xml:space="preserve">), and similarly for the density function. </w:t>
      </w:r>
    </w:p>
    <w:p w14:paraId="50DA2D0B" w14:textId="22B0642F" w:rsidR="000874DF" w:rsidRPr="000874DF" w:rsidRDefault="000874DF" w:rsidP="000874DF">
      <w:pPr>
        <w:pStyle w:val="NormaleWeb"/>
        <w:jc w:val="both"/>
        <w:rPr>
          <w:lang w:val="en-US"/>
        </w:rPr>
      </w:pPr>
      <w:r w:rsidRPr="000874DF">
        <w:rPr>
          <w:rFonts w:ascii="TimesNewRomanPSMT" w:hAnsi="TimesNewRomanPSMT"/>
          <w:lang w:val="en-US"/>
        </w:rPr>
        <w:t xml:space="preserve">In principle, any continuous distribution with positive support, mean one and finite variance, is a suitable candidate to represent the frailty distribution. For tractability reasons, however, the choice of distribution is typically limited to those that provide a closed form expression for the frailty survivor function. </w:t>
      </w:r>
    </w:p>
    <w:p w14:paraId="79BFF979" w14:textId="77777777" w:rsidR="00D14D43" w:rsidRPr="00D14D43" w:rsidRDefault="00D14D43" w:rsidP="00D14D43">
      <w:pPr>
        <w:pStyle w:val="NormaleWeb"/>
        <w:jc w:val="both"/>
        <w:rPr>
          <w:lang w:val="en-US"/>
        </w:rPr>
      </w:pPr>
      <w:r w:rsidRPr="00D14D43">
        <w:rPr>
          <w:rFonts w:ascii="TimesNewRomanPSMT" w:hAnsi="TimesNewRomanPSMT"/>
          <w:lang w:val="en-US"/>
        </w:rPr>
        <w:t xml:space="preserve">For the </w:t>
      </w:r>
      <w:r w:rsidRPr="00D14D43">
        <w:rPr>
          <w:rFonts w:ascii="TimesNewRomanPS" w:hAnsi="TimesNewRomanPS"/>
          <w:i/>
          <w:iCs/>
          <w:lang w:val="en-US"/>
        </w:rPr>
        <w:t xml:space="preserve">discrete time </w:t>
      </w:r>
      <w:r w:rsidRPr="00D14D43">
        <w:rPr>
          <w:rFonts w:ascii="TimesNewRomanPSMT" w:hAnsi="TimesNewRomanPSMT"/>
          <w:lang w:val="en-US"/>
        </w:rPr>
        <w:t xml:space="preserve">PH model, the Gamma distribution has been the most popular distribution. For cloglog and logistic models, it also straightforward to assume a Normal (Gaussian) distribution for </w:t>
      </w:r>
      <w:r w:rsidRPr="00D14D43">
        <w:rPr>
          <w:rFonts w:ascii="TimesNewRomanPS" w:hAnsi="TimesNewRomanPS"/>
          <w:i/>
          <w:iCs/>
          <w:lang w:val="en-US"/>
        </w:rPr>
        <w:t xml:space="preserve">u </w:t>
      </w:r>
      <w:r w:rsidRPr="00D14D43">
        <w:rPr>
          <w:rFonts w:ascii="TimesNewRomanPSMT" w:hAnsi="TimesNewRomanPSMT"/>
          <w:lang w:val="en-US"/>
        </w:rPr>
        <w:t xml:space="preserve">and </w:t>
      </w:r>
      <w:r w:rsidRPr="00D14D43">
        <w:rPr>
          <w:rFonts w:ascii="TimesNewRomanPS" w:hAnsi="TimesNewRomanPS"/>
          <w:i/>
          <w:iCs/>
          <w:lang w:val="en-US"/>
        </w:rPr>
        <w:t>e</w:t>
      </w:r>
      <w:r w:rsidRPr="00D14D43">
        <w:rPr>
          <w:rFonts w:ascii="TimesNewRomanPSMT" w:hAnsi="TimesNewRomanPSMT"/>
          <w:lang w:val="en-US"/>
        </w:rPr>
        <w:t xml:space="preserve">, respectively. (In these latter two cases, closed form expressions are not available; numerical quadrature techniques are used for the integrating out.) Prediction of survivor functions is rather more complicated than for the continuous time case (as Lesson 6 showed), as the survivor function is a product of the complements of the period-specific hazard rates. And, with frailty, these hazard rates also depend on an unobserved individual error term. The most common empirical practice has been to calculate survivor functions conditioning on a particular error term value – using the estimates of covariate coefficients from the frailty model but setting the error term equal to its mean. </w:t>
      </w:r>
    </w:p>
    <w:p w14:paraId="40A66886" w14:textId="75156C1B" w:rsidR="00D14D43" w:rsidRDefault="00D14D43" w:rsidP="00D14D43">
      <w:pPr>
        <w:pStyle w:val="NormaleWeb"/>
        <w:numPr>
          <w:ilvl w:val="1"/>
          <w:numId w:val="1"/>
        </w:numPr>
      </w:pPr>
      <w:r>
        <w:rPr>
          <w:rFonts w:ascii="TimesNewRomanPS" w:hAnsi="TimesNewRomanPS"/>
          <w:b/>
          <w:bCs/>
        </w:rPr>
        <w:t xml:space="preserve">The implications of unobserved heterogeneity </w:t>
      </w:r>
    </w:p>
    <w:p w14:paraId="4B04A7D5" w14:textId="77777777" w:rsidR="00D14D43" w:rsidRPr="00D14D43" w:rsidRDefault="00D14D43" w:rsidP="00D14D43">
      <w:pPr>
        <w:pStyle w:val="NormaleWeb"/>
        <w:jc w:val="both"/>
        <w:rPr>
          <w:lang w:val="en-US"/>
        </w:rPr>
      </w:pPr>
      <w:r w:rsidRPr="00D14D43">
        <w:rPr>
          <w:rFonts w:ascii="TimesNewRomanPSMT" w:hAnsi="TimesNewRomanPSMT"/>
          <w:lang w:val="en-US"/>
        </w:rPr>
        <w:t xml:space="preserve">What happens to parameter estimates if one (mistakenly) ignores unobserved heterogeneity? The theoretical literature has suggested several results, typically derived with reference to a continuous time PH model: </w:t>
      </w:r>
    </w:p>
    <w:p w14:paraId="0F99F9BC" w14:textId="53748258" w:rsidR="00D14D43" w:rsidRPr="00D14D43" w:rsidRDefault="00D14D43" w:rsidP="00D14D43">
      <w:pPr>
        <w:pStyle w:val="NormaleWeb"/>
        <w:numPr>
          <w:ilvl w:val="0"/>
          <w:numId w:val="2"/>
        </w:numPr>
        <w:jc w:val="both"/>
        <w:rPr>
          <w:rFonts w:ascii="SymbolMT" w:hAnsi="SymbolMT"/>
          <w:lang w:val="en-US"/>
        </w:rPr>
      </w:pPr>
      <w:r w:rsidRPr="00D14D43">
        <w:rPr>
          <w:rFonts w:ascii="TimesNewRomanPSMT" w:hAnsi="TimesNewRomanPSMT"/>
          <w:lang w:val="en-US"/>
        </w:rPr>
        <w:t xml:space="preserve">The non-frailty model will over-estimate the degree of negative duration dependence in the (true) baseline hazard, and under-estimate the degree of positive duration dependence. (This is a selection effect. In the negative duration dependence case, observations with high </w:t>
      </w:r>
      <w:r w:rsidRPr="00D14D43">
        <w:rPr>
          <w:rFonts w:ascii="TimesNewRomanPS" w:hAnsi="TimesNewRomanPS"/>
          <w:i/>
          <w:iCs/>
          <w:lang w:val="en-US"/>
        </w:rPr>
        <w:t xml:space="preserve">v </w:t>
      </w:r>
      <w:r w:rsidRPr="00D14D43">
        <w:rPr>
          <w:rFonts w:ascii="TimesNewRomanPSMT" w:hAnsi="TimesNewRomanPSMT"/>
          <w:lang w:val="en-US"/>
        </w:rPr>
        <w:t xml:space="preserve">values fail faster, other things equal, so the survivors at any given survival time are increasingly composed of observations with relatively low </w:t>
      </w:r>
      <w:r w:rsidRPr="00D14D43">
        <w:rPr>
          <w:rFonts w:ascii="TimesNewRomanPS" w:hAnsi="TimesNewRomanPS"/>
          <w:i/>
          <w:iCs/>
          <w:lang w:val="en-US"/>
        </w:rPr>
        <w:t xml:space="preserve">v </w:t>
      </w:r>
      <w:r w:rsidRPr="00D14D43">
        <w:rPr>
          <w:rFonts w:ascii="TimesNewRomanPSMT" w:hAnsi="TimesNewRomanPSMT"/>
          <w:lang w:val="en-US"/>
        </w:rPr>
        <w:t xml:space="preserve">values and thence lower hazard rates.) </w:t>
      </w:r>
    </w:p>
    <w:p w14:paraId="210E4C75" w14:textId="77777777" w:rsidR="00D14D43" w:rsidRPr="00D14D43" w:rsidRDefault="00D14D43" w:rsidP="00D14D43">
      <w:pPr>
        <w:pStyle w:val="NormaleWeb"/>
        <w:numPr>
          <w:ilvl w:val="0"/>
          <w:numId w:val="2"/>
        </w:numPr>
        <w:jc w:val="both"/>
        <w:rPr>
          <w:rFonts w:ascii="SymbolMT" w:hAnsi="SymbolMT"/>
          <w:lang w:val="en-US"/>
        </w:rPr>
      </w:pPr>
      <w:r w:rsidRPr="00D14D43">
        <w:rPr>
          <w:rFonts w:ascii="TimesNewRomanPSMT" w:hAnsi="TimesNewRomanPSMT"/>
          <w:lang w:val="en-US"/>
        </w:rPr>
        <w:t xml:space="preserve">The proportionate effect of a given regressor on the hazard rate is no longer constant and independent of survival time (in the non-frailty PH model, the proportionate effect for regressor </w:t>
      </w:r>
      <w:r w:rsidRPr="00D14D43">
        <w:rPr>
          <w:rFonts w:ascii="TimesNewRomanPS" w:hAnsi="TimesNewRomanPS"/>
          <w:i/>
          <w:iCs/>
          <w:lang w:val="en-US"/>
        </w:rPr>
        <w:t>X</w:t>
      </w:r>
      <w:r w:rsidRPr="00D14D43">
        <w:rPr>
          <w:rFonts w:ascii="TimesNewRomanPS" w:hAnsi="TimesNewRomanPS"/>
          <w:i/>
          <w:iCs/>
          <w:position w:val="-4"/>
          <w:sz w:val="16"/>
          <w:szCs w:val="16"/>
          <w:lang w:val="en-US"/>
        </w:rPr>
        <w:t xml:space="preserve">k </w:t>
      </w:r>
      <w:r w:rsidRPr="00D14D43">
        <w:rPr>
          <w:rFonts w:ascii="TimesNewRomanPSMT" w:hAnsi="TimesNewRomanPSMT"/>
          <w:lang w:val="en-US"/>
        </w:rPr>
        <w:t xml:space="preserve">is the fixed amount </w:t>
      </w:r>
      <w:r>
        <w:rPr>
          <w:rFonts w:ascii="TimesNewRomanPSMT" w:hAnsi="TimesNewRomanPSMT"/>
        </w:rPr>
        <w:t>β</w:t>
      </w:r>
      <w:r w:rsidRPr="00D14D43">
        <w:rPr>
          <w:rFonts w:ascii="TimesNewRomanPS" w:hAnsi="TimesNewRomanPS"/>
          <w:i/>
          <w:iCs/>
          <w:position w:val="-4"/>
          <w:sz w:val="16"/>
          <w:szCs w:val="16"/>
          <w:lang w:val="en-US"/>
        </w:rPr>
        <w:t>k</w:t>
      </w:r>
      <w:r w:rsidRPr="00D14D43">
        <w:rPr>
          <w:rFonts w:ascii="TimesNewRomanPSMT" w:hAnsi="TimesNewRomanPSMT"/>
          <w:lang w:val="en-US"/>
        </w:rPr>
        <w:t xml:space="preserve">). </w:t>
      </w:r>
    </w:p>
    <w:p w14:paraId="3C97EFF5" w14:textId="5A0F0680" w:rsidR="00D14D43" w:rsidRPr="00D14D43" w:rsidRDefault="00D14D43" w:rsidP="00D14D43">
      <w:pPr>
        <w:pStyle w:val="NormaleWeb"/>
        <w:numPr>
          <w:ilvl w:val="0"/>
          <w:numId w:val="2"/>
        </w:numPr>
        <w:jc w:val="both"/>
        <w:rPr>
          <w:rFonts w:ascii="SymbolMT" w:hAnsi="SymbolMT"/>
          <w:lang w:val="en-US"/>
        </w:rPr>
      </w:pPr>
      <w:r w:rsidRPr="00D14D43">
        <w:rPr>
          <w:rFonts w:ascii="TimesNewRomanPSMT" w:hAnsi="TimesNewRomanPSMT"/>
          <w:lang w:val="en-US"/>
        </w:rPr>
        <w:t xml:space="preserve">The presence of unobserved heterogeneity attentuates the proportionate response of the hazard to variation in each regressor at any survival time. In short the estimate of a positive (negative) </w:t>
      </w:r>
      <w:r>
        <w:rPr>
          <w:rFonts w:ascii="TimesNewRomanPSMT" w:hAnsi="TimesNewRomanPSMT"/>
        </w:rPr>
        <w:t>β</w:t>
      </w:r>
      <w:r w:rsidRPr="00D14D43">
        <w:rPr>
          <w:rFonts w:ascii="TimesNewRomanPS" w:hAnsi="TimesNewRomanPS"/>
          <w:i/>
          <w:iCs/>
          <w:position w:val="-4"/>
          <w:sz w:val="16"/>
          <w:szCs w:val="16"/>
          <w:lang w:val="en-US"/>
        </w:rPr>
        <w:t xml:space="preserve">k </w:t>
      </w:r>
      <w:r w:rsidRPr="00D14D43">
        <w:rPr>
          <w:rFonts w:ascii="TimesNewRomanPSMT" w:hAnsi="TimesNewRomanPSMT"/>
          <w:lang w:val="en-US"/>
        </w:rPr>
        <w:t xml:space="preserve">derived from the (wrong) no-frailty model will underestimate (overrestimate) the ‘true’ estimate. </w:t>
      </w:r>
      <w:r>
        <w:rPr>
          <w:rFonts w:ascii="TimesNewRomanPSMT" w:hAnsi="TimesNewRomanPSMT"/>
          <w:lang w:val="en-US"/>
        </w:rPr>
        <w:t xml:space="preserve"> </w:t>
      </w:r>
    </w:p>
    <w:p w14:paraId="2BDD6079" w14:textId="77777777" w:rsidR="00D14D43" w:rsidRPr="00D14D43" w:rsidRDefault="00D14D43" w:rsidP="00D14D43">
      <w:pPr>
        <w:pStyle w:val="NormaleWeb"/>
        <w:jc w:val="both"/>
        <w:rPr>
          <w:rFonts w:ascii="SymbolMT" w:hAnsi="SymbolMT"/>
          <w:lang w:val="en-US"/>
        </w:rPr>
      </w:pPr>
      <w:r w:rsidRPr="00D14D43">
        <w:rPr>
          <w:rFonts w:ascii="TimesNewRomanPSMT" w:hAnsi="TimesNewRomanPSMT"/>
          <w:lang w:val="en-US"/>
        </w:rPr>
        <w:lastRenderedPageBreak/>
        <w:t xml:space="preserve">The empirical literature has generally confirmed these results. There has also been discussion of the magnitude of the effects and how ‘serious’ the biases are in practice. Verdicts have been contingent on the choice of shape of the non-frailty hazard function and the choice of the distribution for the unobserved heterogeneity. The results from several recent papers have suggested that if a fully flexible specification for the baseline hazard function is used, then the magnitude of the biases in the non- frailty model (relative to the ‘true’ model) are diminished. </w:t>
      </w:r>
    </w:p>
    <w:p w14:paraId="66CACCF5" w14:textId="77777777" w:rsidR="00D14D43" w:rsidRPr="00D14D43" w:rsidRDefault="00D14D43" w:rsidP="00D14D43">
      <w:pPr>
        <w:pStyle w:val="NormaleWeb"/>
        <w:jc w:val="both"/>
        <w:rPr>
          <w:rFonts w:ascii="SymbolMT" w:hAnsi="SymbolMT"/>
          <w:lang w:val="en-US"/>
        </w:rPr>
      </w:pPr>
      <w:r w:rsidRPr="00D14D43">
        <w:rPr>
          <w:rFonts w:ascii="TimesNewRomanPSMT" w:hAnsi="TimesNewRomanPSMT"/>
          <w:lang w:val="en-US"/>
        </w:rPr>
        <w:t xml:space="preserve">In sum, the literature to date provides a number of important results and guidelines, but conclusions about the empirical relevance of unobserved heterogeneity are likely to differ from application to application. Moreover, frailty models can be relatively ‘fragile’ in the statistical sense – they can be relatively hard to fit especially if the frailty variance is close to zero. </w:t>
      </w:r>
    </w:p>
    <w:p w14:paraId="2347EEC5" w14:textId="4E756F31" w:rsidR="00B13F38" w:rsidRPr="00B13F38" w:rsidRDefault="00B13F38" w:rsidP="00B13F38">
      <w:pPr>
        <w:pStyle w:val="NormaleWeb"/>
        <w:numPr>
          <w:ilvl w:val="1"/>
          <w:numId w:val="1"/>
        </w:numPr>
        <w:rPr>
          <w:lang w:val="en-US"/>
        </w:rPr>
      </w:pPr>
      <w:r w:rsidRPr="00B13F38">
        <w:rPr>
          <w:rFonts w:ascii="TimesNewRomanPS" w:hAnsi="TimesNewRomanPS"/>
          <w:b/>
          <w:bCs/>
          <w:lang w:val="en-US"/>
        </w:rPr>
        <w:t xml:space="preserve">Frailty models available in Stata – overview </w:t>
      </w:r>
    </w:p>
    <w:p w14:paraId="199FCB38" w14:textId="77777777" w:rsidR="00B13F38" w:rsidRPr="00B13F38" w:rsidRDefault="00B13F38" w:rsidP="00B13F38">
      <w:pPr>
        <w:pStyle w:val="NormaleWeb"/>
        <w:jc w:val="both"/>
        <w:rPr>
          <w:lang w:val="en-US"/>
        </w:rPr>
      </w:pPr>
      <w:r w:rsidRPr="00B13F38">
        <w:rPr>
          <w:rFonts w:ascii="TimesNewRomanPSMT" w:hAnsi="TimesNewRomanPSMT"/>
          <w:lang w:val="en-US"/>
        </w:rPr>
        <w:t xml:space="preserve">For continuous time models, Stata estimates frailty generalisations of all the non- frailty parametric models that were cited in Lesson 5: Exponential, Weibull, Gompertz, Log-logistic, Lognormal, Gamma. As we shall see below, estimation is – in principle – as straightforward as adding a </w:t>
      </w:r>
      <w:r w:rsidRPr="00B13F38">
        <w:rPr>
          <w:rFonts w:ascii="TimesNewRomanPS" w:hAnsi="TimesNewRomanPS"/>
          <w:b/>
          <w:bCs/>
          <w:lang w:val="en-US"/>
        </w:rPr>
        <w:t xml:space="preserve">frailty(.) </w:t>
      </w:r>
      <w:r w:rsidRPr="00B13F38">
        <w:rPr>
          <w:rFonts w:ascii="TimesNewRomanPSMT" w:hAnsi="TimesNewRomanPSMT"/>
          <w:lang w:val="en-US"/>
        </w:rPr>
        <w:t xml:space="preserve">option to one’s </w:t>
      </w:r>
      <w:r w:rsidRPr="00B13F38">
        <w:rPr>
          <w:rFonts w:ascii="TimesNewRomanPS" w:hAnsi="TimesNewRomanPS"/>
          <w:b/>
          <w:bCs/>
          <w:lang w:val="en-US"/>
        </w:rPr>
        <w:t xml:space="preserve">streg </w:t>
      </w:r>
      <w:r w:rsidRPr="00B13F38">
        <w:rPr>
          <w:rFonts w:ascii="TimesNewRomanPSMT" w:hAnsi="TimesNewRomanPSMT"/>
          <w:lang w:val="en-US"/>
        </w:rPr>
        <w:t xml:space="preserve">command, and choosing between Gamma and Inverse Gaussian representations of the frailty. I say ‘in principle’ because the frailty models can sometimes be difficult to fit. </w:t>
      </w:r>
    </w:p>
    <w:p w14:paraId="07DD2E73" w14:textId="77777777" w:rsidR="00B13F38" w:rsidRPr="00B13F38" w:rsidRDefault="00B13F38" w:rsidP="00B13F38">
      <w:pPr>
        <w:pStyle w:val="NormaleWeb"/>
        <w:jc w:val="both"/>
        <w:rPr>
          <w:lang w:val="en-US"/>
        </w:rPr>
      </w:pPr>
      <w:r w:rsidRPr="00B13F38">
        <w:rPr>
          <w:rFonts w:ascii="TimesNewRomanPSMT" w:hAnsi="TimesNewRomanPSMT"/>
          <w:lang w:val="en-US"/>
        </w:rPr>
        <w:t xml:space="preserve">Several discrete time survival models with frailty can be estimated in Stata. The discrete time PH (cloglog) model with Gamma heterogeneity can be estimated using my program </w:t>
      </w:r>
      <w:r w:rsidRPr="00B13F38">
        <w:rPr>
          <w:rFonts w:ascii="TimesNewRomanPS" w:hAnsi="TimesNewRomanPS"/>
          <w:b/>
          <w:bCs/>
          <w:lang w:val="en-US"/>
        </w:rPr>
        <w:t>pgmhaz8</w:t>
      </w:r>
      <w:r w:rsidRPr="00B13F38">
        <w:rPr>
          <w:rFonts w:ascii="TimesNewRomanPSMT" w:hAnsi="TimesNewRomanPSMT"/>
          <w:lang w:val="en-US"/>
        </w:rPr>
        <w:t xml:space="preserve">. This can be downloaded for free from the SSC-IDEAS archive using the command </w:t>
      </w:r>
      <w:r w:rsidRPr="00B13F38">
        <w:rPr>
          <w:rFonts w:ascii="TimesNewRomanPS" w:hAnsi="TimesNewRomanPS"/>
          <w:b/>
          <w:bCs/>
          <w:lang w:val="en-US"/>
        </w:rPr>
        <w:t>ssc install pgmhaz8</w:t>
      </w:r>
      <w:r w:rsidRPr="00B13F38">
        <w:rPr>
          <w:rFonts w:ascii="TimesNewRomanPSMT" w:hAnsi="TimesNewRomanPSMT"/>
          <w:lang w:val="en-US"/>
        </w:rPr>
        <w:t xml:space="preserve">. The cloglog model with Normal distributed errors can be estimated using Stata’s </w:t>
      </w:r>
      <w:r w:rsidRPr="00B13F38">
        <w:rPr>
          <w:rFonts w:ascii="TimesNewRomanPS" w:hAnsi="TimesNewRomanPS"/>
          <w:b/>
          <w:bCs/>
          <w:lang w:val="en-US"/>
        </w:rPr>
        <w:t xml:space="preserve">xtcloglog </w:t>
      </w:r>
      <w:r w:rsidRPr="00B13F38">
        <w:rPr>
          <w:rFonts w:ascii="TimesNewRomanPSMT" w:hAnsi="TimesNewRomanPSMT"/>
          <w:lang w:val="en-US"/>
        </w:rPr>
        <w:t xml:space="preserve">command and the logistic model with Normal distributed errors can be estimated using </w:t>
      </w:r>
      <w:r w:rsidRPr="00B13F38">
        <w:rPr>
          <w:rFonts w:ascii="TimesNewRomanPS" w:hAnsi="TimesNewRomanPS"/>
          <w:b/>
          <w:bCs/>
          <w:lang w:val="en-US"/>
        </w:rPr>
        <w:t>xtlogit</w:t>
      </w:r>
      <w:r w:rsidRPr="00B13F38">
        <w:rPr>
          <w:rFonts w:ascii="TimesNewRomanPSMT" w:hAnsi="TimesNewRomanPSMT"/>
          <w:lang w:val="en-US"/>
        </w:rPr>
        <w:t xml:space="preserve">. (Note that a Normal distribution for </w:t>
      </w:r>
      <w:r w:rsidRPr="00B13F38">
        <w:rPr>
          <w:rFonts w:ascii="TimesNewRomanPS" w:hAnsi="TimesNewRomanPS"/>
          <w:i/>
          <w:iCs/>
          <w:lang w:val="en-US"/>
        </w:rPr>
        <w:t xml:space="preserve">u </w:t>
      </w:r>
      <w:r w:rsidRPr="00B13F38">
        <w:rPr>
          <w:rFonts w:ascii="TimesNewRomanPSMT" w:hAnsi="TimesNewRomanPSMT"/>
          <w:lang w:val="en-US"/>
        </w:rPr>
        <w:t xml:space="preserve">corresponds to a lognormal distribution for </w:t>
      </w:r>
      <w:r w:rsidRPr="00B13F38">
        <w:rPr>
          <w:rFonts w:ascii="TimesNewRomanPS" w:hAnsi="TimesNewRomanPS"/>
          <w:i/>
          <w:iCs/>
          <w:lang w:val="en-US"/>
        </w:rPr>
        <w:t>v</w:t>
      </w:r>
      <w:r w:rsidRPr="00B13F38">
        <w:rPr>
          <w:rFonts w:ascii="TimesNewRomanPSMT" w:hAnsi="TimesNewRomanPSMT"/>
          <w:lang w:val="en-US"/>
        </w:rPr>
        <w:t xml:space="preserve">.) </w:t>
      </w:r>
    </w:p>
    <w:p w14:paraId="416AC8C0" w14:textId="3880690B" w:rsidR="00B13F38" w:rsidRPr="00B13F38" w:rsidRDefault="00B13F38" w:rsidP="00B13F38">
      <w:pPr>
        <w:pStyle w:val="NormaleWeb"/>
        <w:numPr>
          <w:ilvl w:val="0"/>
          <w:numId w:val="1"/>
        </w:numPr>
        <w:rPr>
          <w:lang w:val="en-US"/>
        </w:rPr>
      </w:pPr>
      <w:r w:rsidRPr="00B13F38">
        <w:rPr>
          <w:rFonts w:ascii="TimesNewRomanPS" w:hAnsi="TimesNewRomanPS"/>
          <w:b/>
          <w:bCs/>
          <w:sz w:val="28"/>
          <w:szCs w:val="28"/>
          <w:lang w:val="en-US"/>
        </w:rPr>
        <w:t xml:space="preserve">Continuous time parametric models </w:t>
      </w:r>
    </w:p>
    <w:p w14:paraId="38A44544" w14:textId="77777777" w:rsidR="00B13F38" w:rsidRPr="00B13F38" w:rsidRDefault="00B13F38" w:rsidP="00B13F38">
      <w:pPr>
        <w:pStyle w:val="NormaleWeb"/>
        <w:rPr>
          <w:lang w:val="en-US"/>
        </w:rPr>
      </w:pPr>
      <w:r w:rsidRPr="00B13F38">
        <w:rPr>
          <w:rFonts w:ascii="TimesNewRomanPSMT" w:hAnsi="TimesNewRomanPSMT"/>
          <w:lang w:val="en-US"/>
        </w:rPr>
        <w:t xml:space="preserve">Let us now illustrate the frailty models available via </w:t>
      </w:r>
      <w:r w:rsidRPr="00B13F38">
        <w:rPr>
          <w:rFonts w:ascii="TimesNewRomanPS" w:hAnsi="TimesNewRomanPS"/>
          <w:b/>
          <w:bCs/>
          <w:lang w:val="en-US"/>
        </w:rPr>
        <w:t>streg</w:t>
      </w:r>
      <w:r w:rsidRPr="00B13F38">
        <w:rPr>
          <w:rFonts w:ascii="TimesNewRomanPSMT" w:hAnsi="TimesNewRomanPSMT"/>
          <w:lang w:val="en-US"/>
        </w:rPr>
        <w:t xml:space="preserve">. The discussion here draws heavily on that in the Stata 7 Reference Manual Volume 3, Q–St, pp. 359–363, and uses the same data set, the breast cancer data (bc.dta). These (hypothetical) data refer to survival times for 80 women with breast cancer. Covariates summarise patient’s age, whether she smokes, and average weekly calorific intake over the course of the study. </w:t>
      </w:r>
    </w:p>
    <w:p w14:paraId="40E2CBD5" w14:textId="77777777" w:rsidR="00B13F38" w:rsidRPr="00B13F38" w:rsidRDefault="00B13F38" w:rsidP="00B13F38">
      <w:pPr>
        <w:spacing w:before="100" w:beforeAutospacing="1" w:after="100" w:afterAutospacing="1"/>
        <w:rPr>
          <w:rFonts w:ascii="Times New Roman" w:eastAsia="Times New Roman" w:hAnsi="Times New Roman" w:cs="Times New Roman"/>
          <w:lang w:val="en-US" w:eastAsia="it-IT"/>
        </w:rPr>
      </w:pPr>
      <w:r w:rsidRPr="00B13F38">
        <w:rPr>
          <w:rFonts w:ascii="TimesNewRomanPSMT" w:eastAsia="Times New Roman" w:hAnsi="TimesNewRomanPSMT" w:cs="Times New Roman"/>
          <w:lang w:val="en-US" w:eastAsia="it-IT"/>
        </w:rPr>
        <w:t xml:space="preserve">We shall first estimate a Weibull model without frailty but using all the covariates. (The data were in fact created by simulation from a Weibull distribution.) </w:t>
      </w:r>
    </w:p>
    <w:p w14:paraId="57B291A1" w14:textId="77777777" w:rsidR="00B13F38" w:rsidRPr="00B13F38" w:rsidRDefault="00B13F38" w:rsidP="00B1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B13F38">
        <w:rPr>
          <w:rFonts w:ascii="CourierNewPSMT" w:eastAsia="Times New Roman" w:hAnsi="CourierNewPSMT" w:cs="Courier New"/>
          <w:sz w:val="16"/>
          <w:szCs w:val="16"/>
          <w:lang w:val="en-US" w:eastAsia="it-IT"/>
        </w:rPr>
        <w:t>. use bc.dta, clear</w:t>
      </w:r>
    </w:p>
    <w:p w14:paraId="7889BE54" w14:textId="77777777" w:rsidR="00B13F38" w:rsidRPr="00B13F38" w:rsidRDefault="00B13F38" w:rsidP="00B1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B13F38">
        <w:rPr>
          <w:rFonts w:ascii="CourierNewPSMT" w:eastAsia="Times New Roman" w:hAnsi="CourierNewPSMT" w:cs="Courier New"/>
          <w:sz w:val="16"/>
          <w:szCs w:val="16"/>
          <w:lang w:val="en-US" w:eastAsia="it-IT"/>
        </w:rPr>
        <w:t>.</w:t>
      </w:r>
    </w:p>
    <w:p w14:paraId="57578B7C" w14:textId="77777777" w:rsidR="00B13F38" w:rsidRPr="00B13F38" w:rsidRDefault="00B13F38" w:rsidP="00B1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B13F38">
        <w:rPr>
          <w:rFonts w:ascii="CourierNewPSMT" w:eastAsia="Times New Roman" w:hAnsi="CourierNewPSMT" w:cs="Courier New"/>
          <w:sz w:val="16"/>
          <w:szCs w:val="16"/>
          <w:lang w:val="en-US" w:eastAsia="it-IT"/>
        </w:rPr>
        <w:t>. stset t, f(dead)</w:t>
      </w:r>
    </w:p>
    <w:p w14:paraId="2D7A8EDD" w14:textId="6655BF40" w:rsidR="00106308" w:rsidRDefault="00106308">
      <w:pPr>
        <w:rPr>
          <w:lang w:val="en-US"/>
        </w:rPr>
      </w:pPr>
    </w:p>
    <w:p w14:paraId="0296F330" w14:textId="73FC325B" w:rsidR="00B13F38" w:rsidRDefault="00B13F38">
      <w:pPr>
        <w:rPr>
          <w:lang w:val="en-US"/>
        </w:rPr>
      </w:pPr>
    </w:p>
    <w:p w14:paraId="502CF66E"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streg age smoking dietfat, d(weib) nohr nolog</w:t>
      </w:r>
    </w:p>
    <w:p w14:paraId="67F6AF87" w14:textId="77777777" w:rsidR="00B13F38" w:rsidRPr="00B13F38" w:rsidRDefault="00B13F38" w:rsidP="00B13F38">
      <w:pPr>
        <w:rPr>
          <w:rFonts w:ascii="Courier New" w:hAnsi="Courier New" w:cs="Courier New"/>
          <w:sz w:val="18"/>
          <w:szCs w:val="18"/>
          <w:lang w:val="en-US"/>
        </w:rPr>
      </w:pPr>
    </w:p>
    <w:p w14:paraId="7DB8B883"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Failure _d: dead</w:t>
      </w:r>
    </w:p>
    <w:p w14:paraId="328B7E10"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Analysis time _t: t</w:t>
      </w:r>
    </w:p>
    <w:p w14:paraId="2C700B0C" w14:textId="77777777" w:rsidR="00B13F38" w:rsidRPr="00B13F38" w:rsidRDefault="00B13F38" w:rsidP="00B13F38">
      <w:pPr>
        <w:rPr>
          <w:rFonts w:ascii="Courier New" w:hAnsi="Courier New" w:cs="Courier New"/>
          <w:sz w:val="18"/>
          <w:szCs w:val="18"/>
          <w:lang w:val="en-US"/>
        </w:rPr>
      </w:pPr>
    </w:p>
    <w:p w14:paraId="6164A007"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Weibull PH regression</w:t>
      </w:r>
    </w:p>
    <w:p w14:paraId="6C5C101F" w14:textId="77777777" w:rsidR="00B13F38" w:rsidRPr="00B13F38" w:rsidRDefault="00B13F38" w:rsidP="00B13F38">
      <w:pPr>
        <w:rPr>
          <w:rFonts w:ascii="Courier New" w:hAnsi="Courier New" w:cs="Courier New"/>
          <w:sz w:val="18"/>
          <w:szCs w:val="18"/>
          <w:lang w:val="en-US"/>
        </w:rPr>
      </w:pPr>
    </w:p>
    <w:p w14:paraId="22E35E77"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No. of subjects =       80                              Number of obs =     80</w:t>
      </w:r>
    </w:p>
    <w:p w14:paraId="07ABAF9C"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No. of failures =       58</w:t>
      </w:r>
    </w:p>
    <w:p w14:paraId="607CA5DF"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Time at risk    = 1,257.07</w:t>
      </w:r>
    </w:p>
    <w:p w14:paraId="28F450AD"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LR chi2(3)    = 250.96</w:t>
      </w:r>
    </w:p>
    <w:p w14:paraId="3FC7CF92"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Log likelihood = -13.352142                             Prob &gt; chi2   = 0.0000</w:t>
      </w:r>
    </w:p>
    <w:p w14:paraId="6F72DBE5" w14:textId="77777777" w:rsidR="00B13F38" w:rsidRPr="00B13F38" w:rsidRDefault="00B13F38" w:rsidP="00B13F38">
      <w:pPr>
        <w:rPr>
          <w:rFonts w:ascii="Courier New" w:hAnsi="Courier New" w:cs="Courier New"/>
          <w:sz w:val="18"/>
          <w:szCs w:val="18"/>
          <w:lang w:val="en-US"/>
        </w:rPr>
      </w:pPr>
    </w:p>
    <w:p w14:paraId="246AC173"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2E8C29ED"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_t | Coefficient  Std. err.      z    P&gt;|z|     [95% conf. interval]</w:t>
      </w:r>
    </w:p>
    <w:p w14:paraId="52313812"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4540F59D"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age |    .559197   .0563239     9.93   0.000     .4488042    .6695899</w:t>
      </w:r>
    </w:p>
    <w:p w14:paraId="681B512A"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smoking |   1.649311   .3276501     5.03   0.000     1.007128    2.291493</w:t>
      </w:r>
    </w:p>
    <w:p w14:paraId="7B059CE2"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dietfat |   2.222411   .2404553     9.24   0.000     1.751128    2.693695</w:t>
      </w:r>
    </w:p>
    <w:p w14:paraId="21608822"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_cons |  -45.97988   4.634153    -9.92   0.000    -55.06265   -36.89711</w:t>
      </w:r>
    </w:p>
    <w:p w14:paraId="0F5347E9"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08FA7B08"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/ln_p |   1.431728   .0978872    14.63   0.000     1.239872    1.623583</w:t>
      </w:r>
    </w:p>
    <w:p w14:paraId="0C4E9D07"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3EEAD515"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p |   4.185925   .4097485                      3.455172    5.071228</w:t>
      </w:r>
    </w:p>
    <w:p w14:paraId="51FD61AA"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1/p |   .2388958   .0233848                      .1971909    .2894212</w:t>
      </w:r>
    </w:p>
    <w:p w14:paraId="0098AB33"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7468607D" w14:textId="77777777" w:rsidR="00B13F38" w:rsidRPr="00B13F38" w:rsidRDefault="00B13F38" w:rsidP="00B13F38">
      <w:pPr>
        <w:pStyle w:val="NormaleWeb"/>
        <w:jc w:val="both"/>
        <w:rPr>
          <w:lang w:val="en-US"/>
        </w:rPr>
      </w:pPr>
      <w:r w:rsidRPr="00B13F38">
        <w:rPr>
          <w:rFonts w:ascii="TimesNewRomanPSMT" w:hAnsi="TimesNewRomanPSMT"/>
          <w:lang w:val="en-US"/>
        </w:rPr>
        <w:t xml:space="preserve">We can see that higher hazard rates – shorter survival times – are positively associated with age, smoking, and dietary fat at conventional levels of statistical significance. Let us now drop the dietfat variable with the aim of introducing unobserved heterogeneity. We will use this next model as the reference non-frailty model: </w:t>
      </w:r>
    </w:p>
    <w:p w14:paraId="2D24B690" w14:textId="77777777" w:rsidR="00B13F38" w:rsidRDefault="00B13F38">
      <w:pPr>
        <w:rPr>
          <w:lang w:val="en-US"/>
        </w:rPr>
      </w:pPr>
    </w:p>
    <w:p w14:paraId="578DCBE5"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streg age smoking , d(weib) nohr nolog</w:t>
      </w:r>
    </w:p>
    <w:p w14:paraId="75D3EA2D" w14:textId="77777777" w:rsidR="00B13F38" w:rsidRPr="00B13F38" w:rsidRDefault="00B13F38" w:rsidP="00B13F38">
      <w:pPr>
        <w:rPr>
          <w:rFonts w:ascii="Courier New" w:hAnsi="Courier New" w:cs="Courier New"/>
          <w:sz w:val="18"/>
          <w:szCs w:val="18"/>
          <w:lang w:val="en-US"/>
        </w:rPr>
      </w:pPr>
    </w:p>
    <w:p w14:paraId="5DCBC651"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Failure _d: dead</w:t>
      </w:r>
    </w:p>
    <w:p w14:paraId="6D8408EF"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Analysis time _t: t</w:t>
      </w:r>
    </w:p>
    <w:p w14:paraId="7D57AE29" w14:textId="77777777" w:rsidR="00B13F38" w:rsidRPr="00B13F38" w:rsidRDefault="00B13F38" w:rsidP="00B13F38">
      <w:pPr>
        <w:rPr>
          <w:rFonts w:ascii="Courier New" w:hAnsi="Courier New" w:cs="Courier New"/>
          <w:sz w:val="18"/>
          <w:szCs w:val="18"/>
          <w:lang w:val="en-US"/>
        </w:rPr>
      </w:pPr>
    </w:p>
    <w:p w14:paraId="27C1461E"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Weibull PH regression</w:t>
      </w:r>
    </w:p>
    <w:p w14:paraId="3CABC40A" w14:textId="77777777" w:rsidR="00B13F38" w:rsidRPr="00B13F38" w:rsidRDefault="00B13F38" w:rsidP="00B13F38">
      <w:pPr>
        <w:rPr>
          <w:rFonts w:ascii="Courier New" w:hAnsi="Courier New" w:cs="Courier New"/>
          <w:sz w:val="18"/>
          <w:szCs w:val="18"/>
          <w:lang w:val="en-US"/>
        </w:rPr>
      </w:pPr>
    </w:p>
    <w:p w14:paraId="248C96FD"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No. of subjects =       80                              Number of obs =     80</w:t>
      </w:r>
    </w:p>
    <w:p w14:paraId="40893C34"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No. of failures =       58</w:t>
      </w:r>
    </w:p>
    <w:p w14:paraId="6BD77DFD"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Time at risk    = 1,257.07</w:t>
      </w:r>
    </w:p>
    <w:p w14:paraId="450950B7"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LR chi2(2)    = 118.82</w:t>
      </w:r>
    </w:p>
    <w:p w14:paraId="116A556C"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Log likelihood = -79.419727                             Prob &gt; chi2   = 0.0000</w:t>
      </w:r>
    </w:p>
    <w:p w14:paraId="375BDB03" w14:textId="77777777" w:rsidR="00B13F38" w:rsidRPr="00B13F38" w:rsidRDefault="00B13F38" w:rsidP="00B13F38">
      <w:pPr>
        <w:rPr>
          <w:rFonts w:ascii="Courier New" w:hAnsi="Courier New" w:cs="Courier New"/>
          <w:sz w:val="18"/>
          <w:szCs w:val="18"/>
          <w:lang w:val="en-US"/>
        </w:rPr>
      </w:pPr>
    </w:p>
    <w:p w14:paraId="59EDE691"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16B338C5"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_t | Coefficient  Std. err.      z    P&gt;|z|     [95% conf. interval]</w:t>
      </w:r>
    </w:p>
    <w:p w14:paraId="7495AD36"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2D22F40B"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age |   .1644213   .0149837    10.97   0.000     .1350538    .1937888</w:t>
      </w:r>
    </w:p>
    <w:p w14:paraId="30F9148D"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smoking |   .9056537   .3061656     2.96   0.003     .3055801    1.505727</w:t>
      </w:r>
    </w:p>
    <w:p w14:paraId="5E9634CC"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_cons |  -11.20242   .9989083   -11.21   0.000    -13.16024   -9.244594</w:t>
      </w:r>
    </w:p>
    <w:p w14:paraId="43744C34"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5F9C356A"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/ln_p |   .3633523   .0955797     3.80   0.000     .1760195    .5506852</w:t>
      </w:r>
    </w:p>
    <w:p w14:paraId="06BA0B23"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2A49F936"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p |   1.438142   .1374573                      1.192461    1.734441</w:t>
      </w:r>
    </w:p>
    <w:p w14:paraId="72EA48A2"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1/p |   .6953414   .0664605                      .5765546    .8386016</w:t>
      </w:r>
    </w:p>
    <w:p w14:paraId="15C2B6E9" w14:textId="613EFA94" w:rsid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481FEB83" w14:textId="377D3CDF" w:rsidR="00B13F38" w:rsidRDefault="00B13F38" w:rsidP="00B13F38">
      <w:pPr>
        <w:rPr>
          <w:rFonts w:ascii="Courier New" w:hAnsi="Courier New" w:cs="Courier New"/>
          <w:sz w:val="18"/>
          <w:szCs w:val="18"/>
          <w:lang w:val="en-US"/>
        </w:rPr>
      </w:pPr>
    </w:p>
    <w:p w14:paraId="5A94FB6C" w14:textId="207E31DB" w:rsidR="00B13F38" w:rsidRDefault="00B13F38" w:rsidP="00B13F38">
      <w:pPr>
        <w:rPr>
          <w:rFonts w:ascii="Courier New" w:hAnsi="Courier New" w:cs="Courier New"/>
          <w:sz w:val="18"/>
          <w:szCs w:val="18"/>
          <w:lang w:val="en-US"/>
        </w:rPr>
      </w:pPr>
    </w:p>
    <w:p w14:paraId="07CA0E4E" w14:textId="77777777" w:rsidR="00B13F38" w:rsidRPr="00B13F38" w:rsidRDefault="00B13F38" w:rsidP="00B13F38">
      <w:pPr>
        <w:pStyle w:val="NormaleWeb"/>
        <w:rPr>
          <w:lang w:val="en-US"/>
        </w:rPr>
      </w:pPr>
      <w:r w:rsidRPr="00B13F38">
        <w:rPr>
          <w:rFonts w:ascii="TimesNewRomanPSMT" w:hAnsi="TimesNewRomanPSMT"/>
          <w:lang w:val="en-US"/>
        </w:rPr>
        <w:t xml:space="preserve">Now we allow for unobserved heterogeneity, first assuming a Gamma mixture distribution and then an Inverse Gaussian one. We shall also look at predicted median distributions. </w:t>
      </w:r>
    </w:p>
    <w:p w14:paraId="1A6AAB14"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streg age smoking , d(weib) nohr nolog frailty(gamma)</w:t>
      </w:r>
    </w:p>
    <w:p w14:paraId="0931E4DA" w14:textId="77777777" w:rsidR="00B13F38" w:rsidRPr="00B13F38" w:rsidRDefault="00B13F38" w:rsidP="00B13F38">
      <w:pPr>
        <w:rPr>
          <w:rFonts w:ascii="Courier New" w:hAnsi="Courier New" w:cs="Courier New"/>
          <w:sz w:val="18"/>
          <w:szCs w:val="18"/>
          <w:lang w:val="en-US"/>
        </w:rPr>
      </w:pPr>
    </w:p>
    <w:p w14:paraId="5A2536B7"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Failure _d: dead</w:t>
      </w:r>
    </w:p>
    <w:p w14:paraId="60B0FB2C"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Analysis time _t: t</w:t>
      </w:r>
    </w:p>
    <w:p w14:paraId="00A0A805" w14:textId="77777777" w:rsidR="00B13F38" w:rsidRPr="00B13F38" w:rsidRDefault="00B13F38" w:rsidP="00B13F38">
      <w:pPr>
        <w:rPr>
          <w:rFonts w:ascii="Courier New" w:hAnsi="Courier New" w:cs="Courier New"/>
          <w:sz w:val="18"/>
          <w:szCs w:val="18"/>
          <w:lang w:val="en-US"/>
        </w:rPr>
      </w:pPr>
    </w:p>
    <w:p w14:paraId="2E5A83E9"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Weibull PH regression</w:t>
      </w:r>
    </w:p>
    <w:p w14:paraId="61834F0B"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Gamma frailty</w:t>
      </w:r>
    </w:p>
    <w:p w14:paraId="057C56B1" w14:textId="77777777" w:rsidR="00B13F38" w:rsidRPr="00B13F38" w:rsidRDefault="00B13F38" w:rsidP="00B13F38">
      <w:pPr>
        <w:rPr>
          <w:rFonts w:ascii="Courier New" w:hAnsi="Courier New" w:cs="Courier New"/>
          <w:sz w:val="18"/>
          <w:szCs w:val="18"/>
          <w:lang w:val="en-US"/>
        </w:rPr>
      </w:pPr>
    </w:p>
    <w:p w14:paraId="0E167F7F"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No. of subjects =       80                              Number of obs =     80</w:t>
      </w:r>
    </w:p>
    <w:p w14:paraId="1025F1A6"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No. of failures =       58</w:t>
      </w:r>
    </w:p>
    <w:p w14:paraId="1AB41DDC"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Time at risk    = 1,257.07</w:t>
      </w:r>
    </w:p>
    <w:p w14:paraId="0AEA4F60"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LR chi2(2)    = 135.75</w:t>
      </w:r>
    </w:p>
    <w:p w14:paraId="59F3D02B"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Log likelihood = -68.135804                             Prob &gt; chi2   = 0.0000</w:t>
      </w:r>
    </w:p>
    <w:p w14:paraId="7985E798" w14:textId="77777777" w:rsidR="00B13F38" w:rsidRPr="00B13F38" w:rsidRDefault="00B13F38" w:rsidP="00B13F38">
      <w:pPr>
        <w:rPr>
          <w:rFonts w:ascii="Courier New" w:hAnsi="Courier New" w:cs="Courier New"/>
          <w:sz w:val="18"/>
          <w:szCs w:val="18"/>
          <w:lang w:val="en-US"/>
        </w:rPr>
      </w:pPr>
    </w:p>
    <w:p w14:paraId="2112BA97"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lastRenderedPageBreak/>
        <w:t>------------------------------------------------------------------------------</w:t>
      </w:r>
    </w:p>
    <w:p w14:paraId="668CFCCF"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_t | Coefficient  Std. err.      z    P&gt;|z|     [95% conf. interval]</w:t>
      </w:r>
    </w:p>
    <w:p w14:paraId="49CB75C1"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1D713DD0"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age |   .3893002   .0934984     4.16   0.000     .2060467    .5725537</w:t>
      </w:r>
    </w:p>
    <w:p w14:paraId="1C5D2018"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smoking |   1.025521   .5225054     1.96   0.050     .0014291    2.049613</w:t>
      </w:r>
    </w:p>
    <w:p w14:paraId="3BA4EFCB"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_cons |   -23.8082   5.204923    -4.57   0.000    -34.00966   -13.60674</w:t>
      </w:r>
    </w:p>
    <w:p w14:paraId="419005A1"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4D34C4E2"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/ln_p |   1.087761    .222261     4.89   0.000     .6521376    1.523385</w:t>
      </w:r>
    </w:p>
    <w:p w14:paraId="7C71F24E"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/lntheta |   .3307466   .5250758     0.63   0.529     -.698383    1.359876</w:t>
      </w:r>
    </w:p>
    <w:p w14:paraId="3A69A33B"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01A7E2E2"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p |   2.967622   .6595867                       1.91964    4.587727</w:t>
      </w:r>
    </w:p>
    <w:p w14:paraId="20B7A06A"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1/p |   .3369701   .0748953                      .2179729     .520931</w:t>
      </w:r>
    </w:p>
    <w:p w14:paraId="3F91D1B5"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theta |   1.392007   .7309092                      .4973889    3.895711</w:t>
      </w:r>
    </w:p>
    <w:p w14:paraId="5826F1DE"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6919C363"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LR test of theta=0: chibar2(01) = 22.57                Prob &gt;= chibar2 = 0.000</w:t>
      </w:r>
    </w:p>
    <w:p w14:paraId="4D52C5F0" w14:textId="77777777" w:rsidR="00B13F38" w:rsidRPr="00B13F38" w:rsidRDefault="00B13F38" w:rsidP="00B13F38">
      <w:pPr>
        <w:pStyle w:val="NormaleWeb"/>
        <w:jc w:val="both"/>
        <w:rPr>
          <w:lang w:val="en-US"/>
        </w:rPr>
      </w:pPr>
      <w:r w:rsidRPr="00B13F38">
        <w:rPr>
          <w:rFonts w:ascii="TimesNewRomanPSMT" w:hAnsi="TimesNewRomanPSMT"/>
          <w:lang w:val="en-US"/>
        </w:rPr>
        <w:t xml:space="preserve">The ‘theta’ value reported in the output is the estimate of the frailty distribution variance. Note that the frailty model is preferred to the reference non-frailty model according to the relevant likelihood ratio test. The test is a ‘boundary’ test that takes account of the fact that the null distribution is not the usual chi-squared(d.f. = 1) but is rather a 50:50 mixture of a chi-squared(d.f. = 0) variate (which is a point mass at zero) and chi-squared(d.f. = 1) – hence the reference to ‘chibar2(01)’ in the output </w:t>
      </w:r>
    </w:p>
    <w:p w14:paraId="7FACEF9A" w14:textId="77777777" w:rsidR="00B13F38" w:rsidRPr="00B13F38" w:rsidRDefault="00B13F38" w:rsidP="00B13F38">
      <w:pPr>
        <w:pStyle w:val="NormaleWeb"/>
        <w:jc w:val="both"/>
        <w:rPr>
          <w:lang w:val="en-US"/>
        </w:rPr>
      </w:pPr>
      <w:r w:rsidRPr="00B13F38">
        <w:rPr>
          <w:rFonts w:ascii="TimesNewRomanPSMT" w:hAnsi="TimesNewRomanPSMT"/>
          <w:lang w:val="en-US"/>
        </w:rPr>
        <w:t xml:space="preserve">The frailty has expected effects on model parameters. The estimated coefficients on the regressors age and smoking are larger in magnitude that the corresponding coefficients in the reference model. Also the Weibull distribution shape parameter </w:t>
      </w:r>
      <w:r w:rsidRPr="00B13F38">
        <w:rPr>
          <w:rFonts w:ascii="TimesNewRomanPS" w:hAnsi="TimesNewRomanPS"/>
          <w:i/>
          <w:iCs/>
          <w:lang w:val="en-US"/>
        </w:rPr>
        <w:t xml:space="preserve">p </w:t>
      </w:r>
      <w:r w:rsidRPr="00B13F38">
        <w:rPr>
          <w:rFonts w:ascii="TimesNewRomanPSMT" w:hAnsi="TimesNewRomanPSMT"/>
          <w:lang w:val="en-US"/>
        </w:rPr>
        <w:t xml:space="preserve">is larger in the frailty models than in the reference model – the baseline hazard slopes upwards to a greater extent. Observe too that with frailty present, an exponentiated coefficient is simply that, losing its interpretation in terms of a hazard ratio (a proportional change in the hazard for a one unit change in the relevant covariate). </w:t>
      </w:r>
    </w:p>
    <w:p w14:paraId="2870E294" w14:textId="77777777" w:rsidR="00B13F38" w:rsidRPr="00B13F38" w:rsidRDefault="00B13F38" w:rsidP="00B13F38">
      <w:pPr>
        <w:pStyle w:val="NormaleWeb"/>
        <w:jc w:val="both"/>
        <w:rPr>
          <w:lang w:val="en-US"/>
        </w:rPr>
      </w:pPr>
      <w:r w:rsidRPr="00B13F38">
        <w:rPr>
          <w:rFonts w:ascii="TimesNewRomanPSMT" w:hAnsi="TimesNewRomanPSMT"/>
          <w:lang w:val="en-US"/>
        </w:rPr>
        <w:t xml:space="preserve">Now let us consider the predictions of median duration and compare them with those of the reference non-frailty model. Observe that because there are no time-varying covariates, observation-level and shared frailty models are equivalent. The former is the default. </w:t>
      </w:r>
    </w:p>
    <w:p w14:paraId="6C3D39BE" w14:textId="77777777" w:rsidR="00B13F38" w:rsidRPr="00B13F38" w:rsidRDefault="00B13F38" w:rsidP="00B13F38">
      <w:pPr>
        <w:pStyle w:val="NormaleWeb"/>
        <w:rPr>
          <w:lang w:val="en-US"/>
        </w:rPr>
      </w:pPr>
      <w:r w:rsidRPr="00B13F38">
        <w:rPr>
          <w:rFonts w:ascii="TimesNewRomanPSMT" w:hAnsi="TimesNewRomanPSMT"/>
          <w:lang w:val="en-US"/>
        </w:rPr>
        <w:t xml:space="preserve">What happens if we re-estimate the models but now re-introduce dietfat as a regressor? Here are the estimates from the model with Gamma frailty. </w:t>
      </w:r>
    </w:p>
    <w:p w14:paraId="48E3A69A"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streg age smoking dietfat, d(weib) nolog frailty(gamma) nohr</w:t>
      </w:r>
    </w:p>
    <w:p w14:paraId="607B48AC" w14:textId="77777777" w:rsidR="00B13F38" w:rsidRPr="00B13F38" w:rsidRDefault="00B13F38" w:rsidP="00B13F38">
      <w:pPr>
        <w:rPr>
          <w:rFonts w:ascii="Courier New" w:hAnsi="Courier New" w:cs="Courier New"/>
          <w:sz w:val="18"/>
          <w:szCs w:val="18"/>
          <w:lang w:val="en-US"/>
        </w:rPr>
      </w:pPr>
    </w:p>
    <w:p w14:paraId="749FC972"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Failure _d: dead</w:t>
      </w:r>
    </w:p>
    <w:p w14:paraId="310007E3"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Analysis time _t: t</w:t>
      </w:r>
    </w:p>
    <w:p w14:paraId="693B5179" w14:textId="77777777" w:rsidR="00B13F38" w:rsidRPr="00B13F38" w:rsidRDefault="00B13F38" w:rsidP="00B13F38">
      <w:pPr>
        <w:rPr>
          <w:rFonts w:ascii="Courier New" w:hAnsi="Courier New" w:cs="Courier New"/>
          <w:sz w:val="18"/>
          <w:szCs w:val="18"/>
          <w:lang w:val="en-US"/>
        </w:rPr>
      </w:pPr>
    </w:p>
    <w:p w14:paraId="23B19023"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Weibull PH regression</w:t>
      </w:r>
    </w:p>
    <w:p w14:paraId="6DF347E2"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Gamma frailty</w:t>
      </w:r>
    </w:p>
    <w:p w14:paraId="291999A5" w14:textId="77777777" w:rsidR="00B13F38" w:rsidRPr="00B13F38" w:rsidRDefault="00B13F38" w:rsidP="00B13F38">
      <w:pPr>
        <w:rPr>
          <w:rFonts w:ascii="Courier New" w:hAnsi="Courier New" w:cs="Courier New"/>
          <w:sz w:val="18"/>
          <w:szCs w:val="18"/>
          <w:lang w:val="en-US"/>
        </w:rPr>
      </w:pPr>
    </w:p>
    <w:p w14:paraId="56282230"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No. of subjects =       80                              Number of obs =     80</w:t>
      </w:r>
    </w:p>
    <w:p w14:paraId="5CB45DB5"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No. of failures =       58</w:t>
      </w:r>
    </w:p>
    <w:p w14:paraId="0E7BD388"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Time at risk    = 1,257.07</w:t>
      </w:r>
    </w:p>
    <w:p w14:paraId="3F6EB5AA"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LR chi2(3)    = 245.32</w:t>
      </w:r>
    </w:p>
    <w:p w14:paraId="153C0983"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Log likelihood = -13.352142                             Prob &gt; chi2   = 0.0000</w:t>
      </w:r>
    </w:p>
    <w:p w14:paraId="3B459665" w14:textId="77777777" w:rsidR="00B13F38" w:rsidRPr="00B13F38" w:rsidRDefault="00B13F38" w:rsidP="00B13F38">
      <w:pPr>
        <w:rPr>
          <w:rFonts w:ascii="Courier New" w:hAnsi="Courier New" w:cs="Courier New"/>
          <w:sz w:val="18"/>
          <w:szCs w:val="18"/>
          <w:lang w:val="en-US"/>
        </w:rPr>
      </w:pPr>
    </w:p>
    <w:p w14:paraId="77A7762E"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6E6DCC94"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_t | Coefficient  Std. err.      z    P&gt;|z|     [95% conf. interval]</w:t>
      </w:r>
    </w:p>
    <w:p w14:paraId="054E2C00"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22FAB493"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age |   .5592066     .05632     9.93   0.000     .4488214    .6695918</w:t>
      </w:r>
    </w:p>
    <w:p w14:paraId="06EE2434"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smoking |   1.649354    .327641     5.03   0.000     1.007189    2.291518</w:t>
      </w:r>
    </w:p>
    <w:p w14:paraId="78EF863A"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dietfat |   2.222451   .2404402     9.24   0.000     1.751197    2.693705</w:t>
      </w:r>
    </w:p>
    <w:p w14:paraId="17FD46C6"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_cons |  -45.98067   4.633826    -9.92   0.000     -55.0628   -36.89853</w:t>
      </w:r>
    </w:p>
    <w:p w14:paraId="6A90DC64"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5263C696"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/ln_p |   1.431747   .0978781    14.63   0.000     1.239909    1.623584</w:t>
      </w:r>
    </w:p>
    <w:p w14:paraId="58C655A9"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/lntheta |  -15.92571   6058.646    -0.00   0.998    -11890.65     11858.8</w:t>
      </w:r>
    </w:p>
    <w:p w14:paraId="4BD1272F"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31D91A68"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p |   4.186005   .4097183                        3.4553    5.071235</w:t>
      </w:r>
    </w:p>
    <w:p w14:paraId="70D6C392"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lastRenderedPageBreak/>
        <w:t xml:space="preserve">         1/p |   .2388912   .0233822                      .1971906    .2894105</w:t>
      </w:r>
    </w:p>
    <w:p w14:paraId="7A19B64A"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 xml:space="preserve">       theta |   1.21e-07   .0007344                             0           .</w:t>
      </w:r>
    </w:p>
    <w:p w14:paraId="477337A2"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w:t>
      </w:r>
    </w:p>
    <w:p w14:paraId="2A2A1A58" w14:textId="77777777" w:rsidR="00B13F38" w:rsidRPr="00B13F38" w:rsidRDefault="00B13F38" w:rsidP="00B13F38">
      <w:pPr>
        <w:rPr>
          <w:rFonts w:ascii="Courier New" w:hAnsi="Courier New" w:cs="Courier New"/>
          <w:sz w:val="18"/>
          <w:szCs w:val="18"/>
          <w:lang w:val="en-US"/>
        </w:rPr>
      </w:pPr>
      <w:r w:rsidRPr="00B13F38">
        <w:rPr>
          <w:rFonts w:ascii="Courier New" w:hAnsi="Courier New" w:cs="Courier New"/>
          <w:sz w:val="18"/>
          <w:szCs w:val="18"/>
          <w:lang w:val="en-US"/>
        </w:rPr>
        <w:t>LR test of theta=0: chibar2(01) = 0.00                 Prob &gt;= chibar2 = 1.000</w:t>
      </w:r>
    </w:p>
    <w:p w14:paraId="244B6D4F" w14:textId="053F27F2" w:rsidR="00B13F38" w:rsidRDefault="00B13F38" w:rsidP="00B13F38">
      <w:pPr>
        <w:rPr>
          <w:rFonts w:ascii="Courier New" w:hAnsi="Courier New" w:cs="Courier New"/>
          <w:sz w:val="18"/>
          <w:szCs w:val="18"/>
          <w:lang w:val="en-US"/>
        </w:rPr>
      </w:pPr>
    </w:p>
    <w:p w14:paraId="0E28E642" w14:textId="3F5B8FEA" w:rsidR="00B13F38" w:rsidRDefault="00B13F38" w:rsidP="00B13F38">
      <w:pPr>
        <w:pStyle w:val="NormaleWeb"/>
        <w:jc w:val="both"/>
      </w:pPr>
      <w:r>
        <w:rPr>
          <w:rFonts w:ascii="TimesNewRomanPSMT" w:hAnsi="TimesNewRomanPSMT"/>
          <w:lang w:val="en-US"/>
        </w:rPr>
        <w:t>W</w:t>
      </w:r>
      <w:r w:rsidRPr="00B13F38">
        <w:rPr>
          <w:rFonts w:ascii="TimesNewRomanPSMT" w:hAnsi="TimesNewRomanPSMT"/>
          <w:lang w:val="en-US"/>
        </w:rPr>
        <w:t xml:space="preserve">e now see that there is negligible unobserved heterogeneity – observe the near-zero frailty variances, and the </w:t>
      </w:r>
      <w:r w:rsidRPr="00B13F38">
        <w:rPr>
          <w:rFonts w:ascii="TimesNewRomanPS" w:hAnsi="TimesNewRomanPS"/>
          <w:i/>
          <w:iCs/>
          <w:lang w:val="en-US"/>
        </w:rPr>
        <w:t>p</w:t>
      </w:r>
      <w:r w:rsidRPr="00B13F38">
        <w:rPr>
          <w:rFonts w:ascii="TimesNewRomanPSMT" w:hAnsi="TimesNewRomanPSMT"/>
          <w:lang w:val="en-US"/>
        </w:rPr>
        <w:t xml:space="preserve">-values for the likelihood ratio test equal to one. </w:t>
      </w:r>
      <w:r>
        <w:rPr>
          <w:rFonts w:ascii="TimesNewRomanPSMT" w:hAnsi="TimesNewRomanPSMT"/>
        </w:rPr>
        <w:t xml:space="preserve">The coefficients on the covariates are almost exactly the same as those in the corresponding model without unobserved heterogeneity that we estimated at the very start. </w:t>
      </w:r>
    </w:p>
    <w:p w14:paraId="62EC24DC" w14:textId="77777777" w:rsidR="00B13F38" w:rsidRPr="00B13F38" w:rsidRDefault="00B13F38" w:rsidP="00B13F38">
      <w:pPr>
        <w:rPr>
          <w:rFonts w:ascii="Courier New" w:hAnsi="Courier New" w:cs="Courier New"/>
          <w:sz w:val="18"/>
          <w:szCs w:val="18"/>
          <w:lang w:val="en-US"/>
        </w:rPr>
      </w:pPr>
    </w:p>
    <w:sectPr w:rsidR="00B13F38" w:rsidRPr="00B13F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F250C"/>
    <w:multiLevelType w:val="multilevel"/>
    <w:tmpl w:val="5F20C546"/>
    <w:lvl w:ilvl="0">
      <w:start w:val="1"/>
      <w:numFmt w:val="decimal"/>
      <w:lvlText w:val="%1."/>
      <w:lvlJc w:val="left"/>
      <w:pPr>
        <w:ind w:left="720" w:hanging="360"/>
      </w:pPr>
    </w:lvl>
    <w:lvl w:ilvl="1">
      <w:start w:val="1"/>
      <w:numFmt w:val="decimal"/>
      <w:isLgl/>
      <w:lvlText w:val="%1.%2"/>
      <w:lvlJc w:val="left"/>
      <w:pPr>
        <w:ind w:left="720" w:hanging="360"/>
      </w:pPr>
      <w:rPr>
        <w:rFonts w:ascii="TimesNewRomanPS" w:hAnsi="TimesNewRomanPS" w:hint="default"/>
        <w:b/>
      </w:rPr>
    </w:lvl>
    <w:lvl w:ilvl="2">
      <w:start w:val="1"/>
      <w:numFmt w:val="decimal"/>
      <w:isLgl/>
      <w:lvlText w:val="%1.%2.%3"/>
      <w:lvlJc w:val="left"/>
      <w:pPr>
        <w:ind w:left="1080" w:hanging="720"/>
      </w:pPr>
      <w:rPr>
        <w:rFonts w:ascii="TimesNewRomanPS" w:hAnsi="TimesNewRomanPS" w:hint="default"/>
        <w:b/>
      </w:rPr>
    </w:lvl>
    <w:lvl w:ilvl="3">
      <w:start w:val="1"/>
      <w:numFmt w:val="decimal"/>
      <w:isLgl/>
      <w:lvlText w:val="%1.%2.%3.%4"/>
      <w:lvlJc w:val="left"/>
      <w:pPr>
        <w:ind w:left="1080" w:hanging="720"/>
      </w:pPr>
      <w:rPr>
        <w:rFonts w:ascii="TimesNewRomanPS" w:hAnsi="TimesNewRomanPS" w:hint="default"/>
        <w:b/>
      </w:rPr>
    </w:lvl>
    <w:lvl w:ilvl="4">
      <w:start w:val="1"/>
      <w:numFmt w:val="decimal"/>
      <w:isLgl/>
      <w:lvlText w:val="%1.%2.%3.%4.%5"/>
      <w:lvlJc w:val="left"/>
      <w:pPr>
        <w:ind w:left="1440" w:hanging="1080"/>
      </w:pPr>
      <w:rPr>
        <w:rFonts w:ascii="TimesNewRomanPS" w:hAnsi="TimesNewRomanPS" w:hint="default"/>
        <w:b/>
      </w:rPr>
    </w:lvl>
    <w:lvl w:ilvl="5">
      <w:start w:val="1"/>
      <w:numFmt w:val="decimal"/>
      <w:isLgl/>
      <w:lvlText w:val="%1.%2.%3.%4.%5.%6"/>
      <w:lvlJc w:val="left"/>
      <w:pPr>
        <w:ind w:left="1440" w:hanging="1080"/>
      </w:pPr>
      <w:rPr>
        <w:rFonts w:ascii="TimesNewRomanPS" w:hAnsi="TimesNewRomanPS" w:hint="default"/>
        <w:b/>
      </w:rPr>
    </w:lvl>
    <w:lvl w:ilvl="6">
      <w:start w:val="1"/>
      <w:numFmt w:val="decimal"/>
      <w:isLgl/>
      <w:lvlText w:val="%1.%2.%3.%4.%5.%6.%7"/>
      <w:lvlJc w:val="left"/>
      <w:pPr>
        <w:ind w:left="1800" w:hanging="1440"/>
      </w:pPr>
      <w:rPr>
        <w:rFonts w:ascii="TimesNewRomanPS" w:hAnsi="TimesNewRomanPS" w:hint="default"/>
        <w:b/>
      </w:rPr>
    </w:lvl>
    <w:lvl w:ilvl="7">
      <w:start w:val="1"/>
      <w:numFmt w:val="decimal"/>
      <w:isLgl/>
      <w:lvlText w:val="%1.%2.%3.%4.%5.%6.%7.%8"/>
      <w:lvlJc w:val="left"/>
      <w:pPr>
        <w:ind w:left="1800" w:hanging="1440"/>
      </w:pPr>
      <w:rPr>
        <w:rFonts w:ascii="TimesNewRomanPS" w:hAnsi="TimesNewRomanPS" w:hint="default"/>
        <w:b/>
      </w:rPr>
    </w:lvl>
    <w:lvl w:ilvl="8">
      <w:start w:val="1"/>
      <w:numFmt w:val="decimal"/>
      <w:isLgl/>
      <w:lvlText w:val="%1.%2.%3.%4.%5.%6.%7.%8.%9"/>
      <w:lvlJc w:val="left"/>
      <w:pPr>
        <w:ind w:left="2160" w:hanging="1800"/>
      </w:pPr>
      <w:rPr>
        <w:rFonts w:ascii="TimesNewRomanPS" w:hAnsi="TimesNewRomanPS" w:hint="default"/>
        <w:b/>
      </w:rPr>
    </w:lvl>
  </w:abstractNum>
  <w:abstractNum w:abstractNumId="1" w15:restartNumberingAfterBreak="0">
    <w:nsid w:val="49A03D27"/>
    <w:multiLevelType w:val="multilevel"/>
    <w:tmpl w:val="5DF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0164894">
    <w:abstractNumId w:val="0"/>
  </w:num>
  <w:num w:numId="2" w16cid:durableId="167564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DF"/>
    <w:rsid w:val="00040117"/>
    <w:rsid w:val="000874DF"/>
    <w:rsid w:val="00106308"/>
    <w:rsid w:val="002F6DFB"/>
    <w:rsid w:val="006B71AF"/>
    <w:rsid w:val="0077182A"/>
    <w:rsid w:val="00B13F38"/>
    <w:rsid w:val="00B17F9A"/>
    <w:rsid w:val="00D14D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B740388"/>
  <w15:chartTrackingRefBased/>
  <w15:docId w15:val="{9F4689C5-AB8A-E44D-86D3-21AB65D3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874DF"/>
    <w:pPr>
      <w:spacing w:before="100" w:beforeAutospacing="1" w:after="100" w:afterAutospacing="1"/>
    </w:pPr>
    <w:rPr>
      <w:rFonts w:ascii="Times New Roman" w:eastAsia="Times New Roman" w:hAnsi="Times New Roman" w:cs="Times New Roman"/>
      <w:lang w:eastAsia="it-IT"/>
    </w:rPr>
  </w:style>
  <w:style w:type="paragraph" w:styleId="PreformattatoHTML">
    <w:name w:val="HTML Preformatted"/>
    <w:basedOn w:val="Normale"/>
    <w:link w:val="PreformattatoHTMLCarattere"/>
    <w:uiPriority w:val="99"/>
    <w:semiHidden/>
    <w:unhideWhenUsed/>
    <w:rsid w:val="00B1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13F38"/>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6424">
      <w:bodyDiv w:val="1"/>
      <w:marLeft w:val="0"/>
      <w:marRight w:val="0"/>
      <w:marTop w:val="0"/>
      <w:marBottom w:val="0"/>
      <w:divBdr>
        <w:top w:val="none" w:sz="0" w:space="0" w:color="auto"/>
        <w:left w:val="none" w:sz="0" w:space="0" w:color="auto"/>
        <w:bottom w:val="none" w:sz="0" w:space="0" w:color="auto"/>
        <w:right w:val="none" w:sz="0" w:space="0" w:color="auto"/>
      </w:divBdr>
      <w:divsChild>
        <w:div w:id="113913683">
          <w:marLeft w:val="0"/>
          <w:marRight w:val="0"/>
          <w:marTop w:val="0"/>
          <w:marBottom w:val="0"/>
          <w:divBdr>
            <w:top w:val="none" w:sz="0" w:space="0" w:color="auto"/>
            <w:left w:val="none" w:sz="0" w:space="0" w:color="auto"/>
            <w:bottom w:val="none" w:sz="0" w:space="0" w:color="auto"/>
            <w:right w:val="none" w:sz="0" w:space="0" w:color="auto"/>
          </w:divBdr>
          <w:divsChild>
            <w:div w:id="2028672842">
              <w:marLeft w:val="0"/>
              <w:marRight w:val="0"/>
              <w:marTop w:val="0"/>
              <w:marBottom w:val="0"/>
              <w:divBdr>
                <w:top w:val="none" w:sz="0" w:space="0" w:color="auto"/>
                <w:left w:val="none" w:sz="0" w:space="0" w:color="auto"/>
                <w:bottom w:val="none" w:sz="0" w:space="0" w:color="auto"/>
                <w:right w:val="none" w:sz="0" w:space="0" w:color="auto"/>
              </w:divBdr>
              <w:divsChild>
                <w:div w:id="11047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0474">
      <w:bodyDiv w:val="1"/>
      <w:marLeft w:val="0"/>
      <w:marRight w:val="0"/>
      <w:marTop w:val="0"/>
      <w:marBottom w:val="0"/>
      <w:divBdr>
        <w:top w:val="none" w:sz="0" w:space="0" w:color="auto"/>
        <w:left w:val="none" w:sz="0" w:space="0" w:color="auto"/>
        <w:bottom w:val="none" w:sz="0" w:space="0" w:color="auto"/>
        <w:right w:val="none" w:sz="0" w:space="0" w:color="auto"/>
      </w:divBdr>
      <w:divsChild>
        <w:div w:id="1748451980">
          <w:marLeft w:val="0"/>
          <w:marRight w:val="0"/>
          <w:marTop w:val="0"/>
          <w:marBottom w:val="0"/>
          <w:divBdr>
            <w:top w:val="none" w:sz="0" w:space="0" w:color="auto"/>
            <w:left w:val="none" w:sz="0" w:space="0" w:color="auto"/>
            <w:bottom w:val="none" w:sz="0" w:space="0" w:color="auto"/>
            <w:right w:val="none" w:sz="0" w:space="0" w:color="auto"/>
          </w:divBdr>
          <w:divsChild>
            <w:div w:id="1982807154">
              <w:marLeft w:val="0"/>
              <w:marRight w:val="0"/>
              <w:marTop w:val="0"/>
              <w:marBottom w:val="0"/>
              <w:divBdr>
                <w:top w:val="none" w:sz="0" w:space="0" w:color="auto"/>
                <w:left w:val="none" w:sz="0" w:space="0" w:color="auto"/>
                <w:bottom w:val="none" w:sz="0" w:space="0" w:color="auto"/>
                <w:right w:val="none" w:sz="0" w:space="0" w:color="auto"/>
              </w:divBdr>
              <w:divsChild>
                <w:div w:id="2330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4194">
      <w:bodyDiv w:val="1"/>
      <w:marLeft w:val="0"/>
      <w:marRight w:val="0"/>
      <w:marTop w:val="0"/>
      <w:marBottom w:val="0"/>
      <w:divBdr>
        <w:top w:val="none" w:sz="0" w:space="0" w:color="auto"/>
        <w:left w:val="none" w:sz="0" w:space="0" w:color="auto"/>
        <w:bottom w:val="none" w:sz="0" w:space="0" w:color="auto"/>
        <w:right w:val="none" w:sz="0" w:space="0" w:color="auto"/>
      </w:divBdr>
      <w:divsChild>
        <w:div w:id="1544563335">
          <w:marLeft w:val="0"/>
          <w:marRight w:val="0"/>
          <w:marTop w:val="0"/>
          <w:marBottom w:val="0"/>
          <w:divBdr>
            <w:top w:val="none" w:sz="0" w:space="0" w:color="auto"/>
            <w:left w:val="none" w:sz="0" w:space="0" w:color="auto"/>
            <w:bottom w:val="none" w:sz="0" w:space="0" w:color="auto"/>
            <w:right w:val="none" w:sz="0" w:space="0" w:color="auto"/>
          </w:divBdr>
          <w:divsChild>
            <w:div w:id="1374840161">
              <w:marLeft w:val="0"/>
              <w:marRight w:val="0"/>
              <w:marTop w:val="0"/>
              <w:marBottom w:val="0"/>
              <w:divBdr>
                <w:top w:val="none" w:sz="0" w:space="0" w:color="auto"/>
                <w:left w:val="none" w:sz="0" w:space="0" w:color="auto"/>
                <w:bottom w:val="none" w:sz="0" w:space="0" w:color="auto"/>
                <w:right w:val="none" w:sz="0" w:space="0" w:color="auto"/>
              </w:divBdr>
              <w:divsChild>
                <w:div w:id="19973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79265">
      <w:bodyDiv w:val="1"/>
      <w:marLeft w:val="0"/>
      <w:marRight w:val="0"/>
      <w:marTop w:val="0"/>
      <w:marBottom w:val="0"/>
      <w:divBdr>
        <w:top w:val="none" w:sz="0" w:space="0" w:color="auto"/>
        <w:left w:val="none" w:sz="0" w:space="0" w:color="auto"/>
        <w:bottom w:val="none" w:sz="0" w:space="0" w:color="auto"/>
        <w:right w:val="none" w:sz="0" w:space="0" w:color="auto"/>
      </w:divBdr>
      <w:divsChild>
        <w:div w:id="647906426">
          <w:marLeft w:val="0"/>
          <w:marRight w:val="0"/>
          <w:marTop w:val="0"/>
          <w:marBottom w:val="0"/>
          <w:divBdr>
            <w:top w:val="none" w:sz="0" w:space="0" w:color="auto"/>
            <w:left w:val="none" w:sz="0" w:space="0" w:color="auto"/>
            <w:bottom w:val="none" w:sz="0" w:space="0" w:color="auto"/>
            <w:right w:val="none" w:sz="0" w:space="0" w:color="auto"/>
          </w:divBdr>
          <w:divsChild>
            <w:div w:id="2127120370">
              <w:marLeft w:val="0"/>
              <w:marRight w:val="0"/>
              <w:marTop w:val="0"/>
              <w:marBottom w:val="0"/>
              <w:divBdr>
                <w:top w:val="none" w:sz="0" w:space="0" w:color="auto"/>
                <w:left w:val="none" w:sz="0" w:space="0" w:color="auto"/>
                <w:bottom w:val="none" w:sz="0" w:space="0" w:color="auto"/>
                <w:right w:val="none" w:sz="0" w:space="0" w:color="auto"/>
              </w:divBdr>
              <w:divsChild>
                <w:div w:id="19151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51504">
      <w:bodyDiv w:val="1"/>
      <w:marLeft w:val="0"/>
      <w:marRight w:val="0"/>
      <w:marTop w:val="0"/>
      <w:marBottom w:val="0"/>
      <w:divBdr>
        <w:top w:val="none" w:sz="0" w:space="0" w:color="auto"/>
        <w:left w:val="none" w:sz="0" w:space="0" w:color="auto"/>
        <w:bottom w:val="none" w:sz="0" w:space="0" w:color="auto"/>
        <w:right w:val="none" w:sz="0" w:space="0" w:color="auto"/>
      </w:divBdr>
      <w:divsChild>
        <w:div w:id="1222137663">
          <w:marLeft w:val="0"/>
          <w:marRight w:val="0"/>
          <w:marTop w:val="0"/>
          <w:marBottom w:val="0"/>
          <w:divBdr>
            <w:top w:val="none" w:sz="0" w:space="0" w:color="auto"/>
            <w:left w:val="none" w:sz="0" w:space="0" w:color="auto"/>
            <w:bottom w:val="none" w:sz="0" w:space="0" w:color="auto"/>
            <w:right w:val="none" w:sz="0" w:space="0" w:color="auto"/>
          </w:divBdr>
          <w:divsChild>
            <w:div w:id="840972624">
              <w:marLeft w:val="0"/>
              <w:marRight w:val="0"/>
              <w:marTop w:val="0"/>
              <w:marBottom w:val="0"/>
              <w:divBdr>
                <w:top w:val="none" w:sz="0" w:space="0" w:color="auto"/>
                <w:left w:val="none" w:sz="0" w:space="0" w:color="auto"/>
                <w:bottom w:val="none" w:sz="0" w:space="0" w:color="auto"/>
                <w:right w:val="none" w:sz="0" w:space="0" w:color="auto"/>
              </w:divBdr>
              <w:divsChild>
                <w:div w:id="4976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90547">
      <w:bodyDiv w:val="1"/>
      <w:marLeft w:val="0"/>
      <w:marRight w:val="0"/>
      <w:marTop w:val="0"/>
      <w:marBottom w:val="0"/>
      <w:divBdr>
        <w:top w:val="none" w:sz="0" w:space="0" w:color="auto"/>
        <w:left w:val="none" w:sz="0" w:space="0" w:color="auto"/>
        <w:bottom w:val="none" w:sz="0" w:space="0" w:color="auto"/>
        <w:right w:val="none" w:sz="0" w:space="0" w:color="auto"/>
      </w:divBdr>
      <w:divsChild>
        <w:div w:id="925771626">
          <w:marLeft w:val="0"/>
          <w:marRight w:val="0"/>
          <w:marTop w:val="0"/>
          <w:marBottom w:val="0"/>
          <w:divBdr>
            <w:top w:val="none" w:sz="0" w:space="0" w:color="auto"/>
            <w:left w:val="none" w:sz="0" w:space="0" w:color="auto"/>
            <w:bottom w:val="none" w:sz="0" w:space="0" w:color="auto"/>
            <w:right w:val="none" w:sz="0" w:space="0" w:color="auto"/>
          </w:divBdr>
          <w:divsChild>
            <w:div w:id="1230768300">
              <w:marLeft w:val="0"/>
              <w:marRight w:val="0"/>
              <w:marTop w:val="0"/>
              <w:marBottom w:val="0"/>
              <w:divBdr>
                <w:top w:val="none" w:sz="0" w:space="0" w:color="auto"/>
                <w:left w:val="none" w:sz="0" w:space="0" w:color="auto"/>
                <w:bottom w:val="none" w:sz="0" w:space="0" w:color="auto"/>
                <w:right w:val="none" w:sz="0" w:space="0" w:color="auto"/>
              </w:divBdr>
              <w:divsChild>
                <w:div w:id="16623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58618">
      <w:bodyDiv w:val="1"/>
      <w:marLeft w:val="0"/>
      <w:marRight w:val="0"/>
      <w:marTop w:val="0"/>
      <w:marBottom w:val="0"/>
      <w:divBdr>
        <w:top w:val="none" w:sz="0" w:space="0" w:color="auto"/>
        <w:left w:val="none" w:sz="0" w:space="0" w:color="auto"/>
        <w:bottom w:val="none" w:sz="0" w:space="0" w:color="auto"/>
        <w:right w:val="none" w:sz="0" w:space="0" w:color="auto"/>
      </w:divBdr>
      <w:divsChild>
        <w:div w:id="955258452">
          <w:marLeft w:val="0"/>
          <w:marRight w:val="0"/>
          <w:marTop w:val="0"/>
          <w:marBottom w:val="0"/>
          <w:divBdr>
            <w:top w:val="none" w:sz="0" w:space="0" w:color="auto"/>
            <w:left w:val="none" w:sz="0" w:space="0" w:color="auto"/>
            <w:bottom w:val="none" w:sz="0" w:space="0" w:color="auto"/>
            <w:right w:val="none" w:sz="0" w:space="0" w:color="auto"/>
          </w:divBdr>
          <w:divsChild>
            <w:div w:id="1952324725">
              <w:marLeft w:val="0"/>
              <w:marRight w:val="0"/>
              <w:marTop w:val="0"/>
              <w:marBottom w:val="0"/>
              <w:divBdr>
                <w:top w:val="none" w:sz="0" w:space="0" w:color="auto"/>
                <w:left w:val="none" w:sz="0" w:space="0" w:color="auto"/>
                <w:bottom w:val="none" w:sz="0" w:space="0" w:color="auto"/>
                <w:right w:val="none" w:sz="0" w:space="0" w:color="auto"/>
              </w:divBdr>
              <w:divsChild>
                <w:div w:id="8876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28723">
      <w:bodyDiv w:val="1"/>
      <w:marLeft w:val="0"/>
      <w:marRight w:val="0"/>
      <w:marTop w:val="0"/>
      <w:marBottom w:val="0"/>
      <w:divBdr>
        <w:top w:val="none" w:sz="0" w:space="0" w:color="auto"/>
        <w:left w:val="none" w:sz="0" w:space="0" w:color="auto"/>
        <w:bottom w:val="none" w:sz="0" w:space="0" w:color="auto"/>
        <w:right w:val="none" w:sz="0" w:space="0" w:color="auto"/>
      </w:divBdr>
      <w:divsChild>
        <w:div w:id="1759592714">
          <w:marLeft w:val="0"/>
          <w:marRight w:val="0"/>
          <w:marTop w:val="0"/>
          <w:marBottom w:val="0"/>
          <w:divBdr>
            <w:top w:val="none" w:sz="0" w:space="0" w:color="auto"/>
            <w:left w:val="none" w:sz="0" w:space="0" w:color="auto"/>
            <w:bottom w:val="none" w:sz="0" w:space="0" w:color="auto"/>
            <w:right w:val="none" w:sz="0" w:space="0" w:color="auto"/>
          </w:divBdr>
          <w:divsChild>
            <w:div w:id="1950624263">
              <w:marLeft w:val="0"/>
              <w:marRight w:val="0"/>
              <w:marTop w:val="0"/>
              <w:marBottom w:val="0"/>
              <w:divBdr>
                <w:top w:val="none" w:sz="0" w:space="0" w:color="auto"/>
                <w:left w:val="none" w:sz="0" w:space="0" w:color="auto"/>
                <w:bottom w:val="none" w:sz="0" w:space="0" w:color="auto"/>
                <w:right w:val="none" w:sz="0" w:space="0" w:color="auto"/>
              </w:divBdr>
              <w:divsChild>
                <w:div w:id="17033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7188">
      <w:bodyDiv w:val="1"/>
      <w:marLeft w:val="0"/>
      <w:marRight w:val="0"/>
      <w:marTop w:val="0"/>
      <w:marBottom w:val="0"/>
      <w:divBdr>
        <w:top w:val="none" w:sz="0" w:space="0" w:color="auto"/>
        <w:left w:val="none" w:sz="0" w:space="0" w:color="auto"/>
        <w:bottom w:val="none" w:sz="0" w:space="0" w:color="auto"/>
        <w:right w:val="none" w:sz="0" w:space="0" w:color="auto"/>
      </w:divBdr>
      <w:divsChild>
        <w:div w:id="706486809">
          <w:marLeft w:val="0"/>
          <w:marRight w:val="0"/>
          <w:marTop w:val="0"/>
          <w:marBottom w:val="0"/>
          <w:divBdr>
            <w:top w:val="none" w:sz="0" w:space="0" w:color="auto"/>
            <w:left w:val="none" w:sz="0" w:space="0" w:color="auto"/>
            <w:bottom w:val="none" w:sz="0" w:space="0" w:color="auto"/>
            <w:right w:val="none" w:sz="0" w:space="0" w:color="auto"/>
          </w:divBdr>
          <w:divsChild>
            <w:div w:id="1567490056">
              <w:marLeft w:val="0"/>
              <w:marRight w:val="0"/>
              <w:marTop w:val="0"/>
              <w:marBottom w:val="0"/>
              <w:divBdr>
                <w:top w:val="none" w:sz="0" w:space="0" w:color="auto"/>
                <w:left w:val="none" w:sz="0" w:space="0" w:color="auto"/>
                <w:bottom w:val="none" w:sz="0" w:space="0" w:color="auto"/>
                <w:right w:val="none" w:sz="0" w:space="0" w:color="auto"/>
              </w:divBdr>
              <w:divsChild>
                <w:div w:id="10691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64119">
      <w:bodyDiv w:val="1"/>
      <w:marLeft w:val="0"/>
      <w:marRight w:val="0"/>
      <w:marTop w:val="0"/>
      <w:marBottom w:val="0"/>
      <w:divBdr>
        <w:top w:val="none" w:sz="0" w:space="0" w:color="auto"/>
        <w:left w:val="none" w:sz="0" w:space="0" w:color="auto"/>
        <w:bottom w:val="none" w:sz="0" w:space="0" w:color="auto"/>
        <w:right w:val="none" w:sz="0" w:space="0" w:color="auto"/>
      </w:divBdr>
      <w:divsChild>
        <w:div w:id="1937908403">
          <w:marLeft w:val="0"/>
          <w:marRight w:val="0"/>
          <w:marTop w:val="0"/>
          <w:marBottom w:val="0"/>
          <w:divBdr>
            <w:top w:val="none" w:sz="0" w:space="0" w:color="auto"/>
            <w:left w:val="none" w:sz="0" w:space="0" w:color="auto"/>
            <w:bottom w:val="none" w:sz="0" w:space="0" w:color="auto"/>
            <w:right w:val="none" w:sz="0" w:space="0" w:color="auto"/>
          </w:divBdr>
          <w:divsChild>
            <w:div w:id="385421853">
              <w:marLeft w:val="0"/>
              <w:marRight w:val="0"/>
              <w:marTop w:val="0"/>
              <w:marBottom w:val="0"/>
              <w:divBdr>
                <w:top w:val="none" w:sz="0" w:space="0" w:color="auto"/>
                <w:left w:val="none" w:sz="0" w:space="0" w:color="auto"/>
                <w:bottom w:val="none" w:sz="0" w:space="0" w:color="auto"/>
                <w:right w:val="none" w:sz="0" w:space="0" w:color="auto"/>
              </w:divBdr>
              <w:divsChild>
                <w:div w:id="3690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8035">
      <w:bodyDiv w:val="1"/>
      <w:marLeft w:val="0"/>
      <w:marRight w:val="0"/>
      <w:marTop w:val="0"/>
      <w:marBottom w:val="0"/>
      <w:divBdr>
        <w:top w:val="none" w:sz="0" w:space="0" w:color="auto"/>
        <w:left w:val="none" w:sz="0" w:space="0" w:color="auto"/>
        <w:bottom w:val="none" w:sz="0" w:space="0" w:color="auto"/>
        <w:right w:val="none" w:sz="0" w:space="0" w:color="auto"/>
      </w:divBdr>
      <w:divsChild>
        <w:div w:id="52431274">
          <w:marLeft w:val="0"/>
          <w:marRight w:val="0"/>
          <w:marTop w:val="0"/>
          <w:marBottom w:val="0"/>
          <w:divBdr>
            <w:top w:val="none" w:sz="0" w:space="0" w:color="auto"/>
            <w:left w:val="none" w:sz="0" w:space="0" w:color="auto"/>
            <w:bottom w:val="none" w:sz="0" w:space="0" w:color="auto"/>
            <w:right w:val="none" w:sz="0" w:space="0" w:color="auto"/>
          </w:divBdr>
          <w:divsChild>
            <w:div w:id="1760372338">
              <w:marLeft w:val="0"/>
              <w:marRight w:val="0"/>
              <w:marTop w:val="0"/>
              <w:marBottom w:val="0"/>
              <w:divBdr>
                <w:top w:val="none" w:sz="0" w:space="0" w:color="auto"/>
                <w:left w:val="none" w:sz="0" w:space="0" w:color="auto"/>
                <w:bottom w:val="none" w:sz="0" w:space="0" w:color="auto"/>
                <w:right w:val="none" w:sz="0" w:space="0" w:color="auto"/>
              </w:divBdr>
              <w:divsChild>
                <w:div w:id="10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8775">
      <w:bodyDiv w:val="1"/>
      <w:marLeft w:val="0"/>
      <w:marRight w:val="0"/>
      <w:marTop w:val="0"/>
      <w:marBottom w:val="0"/>
      <w:divBdr>
        <w:top w:val="none" w:sz="0" w:space="0" w:color="auto"/>
        <w:left w:val="none" w:sz="0" w:space="0" w:color="auto"/>
        <w:bottom w:val="none" w:sz="0" w:space="0" w:color="auto"/>
        <w:right w:val="none" w:sz="0" w:space="0" w:color="auto"/>
      </w:divBdr>
      <w:divsChild>
        <w:div w:id="822164319">
          <w:marLeft w:val="0"/>
          <w:marRight w:val="0"/>
          <w:marTop w:val="0"/>
          <w:marBottom w:val="0"/>
          <w:divBdr>
            <w:top w:val="none" w:sz="0" w:space="0" w:color="auto"/>
            <w:left w:val="none" w:sz="0" w:space="0" w:color="auto"/>
            <w:bottom w:val="none" w:sz="0" w:space="0" w:color="auto"/>
            <w:right w:val="none" w:sz="0" w:space="0" w:color="auto"/>
          </w:divBdr>
          <w:divsChild>
            <w:div w:id="124935543">
              <w:marLeft w:val="0"/>
              <w:marRight w:val="0"/>
              <w:marTop w:val="0"/>
              <w:marBottom w:val="0"/>
              <w:divBdr>
                <w:top w:val="none" w:sz="0" w:space="0" w:color="auto"/>
                <w:left w:val="none" w:sz="0" w:space="0" w:color="auto"/>
                <w:bottom w:val="none" w:sz="0" w:space="0" w:color="auto"/>
                <w:right w:val="none" w:sz="0" w:space="0" w:color="auto"/>
              </w:divBdr>
              <w:divsChild>
                <w:div w:id="11034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4808">
      <w:bodyDiv w:val="1"/>
      <w:marLeft w:val="0"/>
      <w:marRight w:val="0"/>
      <w:marTop w:val="0"/>
      <w:marBottom w:val="0"/>
      <w:divBdr>
        <w:top w:val="none" w:sz="0" w:space="0" w:color="auto"/>
        <w:left w:val="none" w:sz="0" w:space="0" w:color="auto"/>
        <w:bottom w:val="none" w:sz="0" w:space="0" w:color="auto"/>
        <w:right w:val="none" w:sz="0" w:space="0" w:color="auto"/>
      </w:divBdr>
      <w:divsChild>
        <w:div w:id="855731693">
          <w:marLeft w:val="0"/>
          <w:marRight w:val="0"/>
          <w:marTop w:val="0"/>
          <w:marBottom w:val="0"/>
          <w:divBdr>
            <w:top w:val="none" w:sz="0" w:space="0" w:color="auto"/>
            <w:left w:val="none" w:sz="0" w:space="0" w:color="auto"/>
            <w:bottom w:val="none" w:sz="0" w:space="0" w:color="auto"/>
            <w:right w:val="none" w:sz="0" w:space="0" w:color="auto"/>
          </w:divBdr>
          <w:divsChild>
            <w:div w:id="93596293">
              <w:marLeft w:val="0"/>
              <w:marRight w:val="0"/>
              <w:marTop w:val="0"/>
              <w:marBottom w:val="0"/>
              <w:divBdr>
                <w:top w:val="none" w:sz="0" w:space="0" w:color="auto"/>
                <w:left w:val="none" w:sz="0" w:space="0" w:color="auto"/>
                <w:bottom w:val="none" w:sz="0" w:space="0" w:color="auto"/>
                <w:right w:val="none" w:sz="0" w:space="0" w:color="auto"/>
              </w:divBdr>
              <w:divsChild>
                <w:div w:id="13560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8389">
      <w:bodyDiv w:val="1"/>
      <w:marLeft w:val="0"/>
      <w:marRight w:val="0"/>
      <w:marTop w:val="0"/>
      <w:marBottom w:val="0"/>
      <w:divBdr>
        <w:top w:val="none" w:sz="0" w:space="0" w:color="auto"/>
        <w:left w:val="none" w:sz="0" w:space="0" w:color="auto"/>
        <w:bottom w:val="none" w:sz="0" w:space="0" w:color="auto"/>
        <w:right w:val="none" w:sz="0" w:space="0" w:color="auto"/>
      </w:divBdr>
      <w:divsChild>
        <w:div w:id="2134053007">
          <w:marLeft w:val="0"/>
          <w:marRight w:val="0"/>
          <w:marTop w:val="0"/>
          <w:marBottom w:val="0"/>
          <w:divBdr>
            <w:top w:val="none" w:sz="0" w:space="0" w:color="auto"/>
            <w:left w:val="none" w:sz="0" w:space="0" w:color="auto"/>
            <w:bottom w:val="none" w:sz="0" w:space="0" w:color="auto"/>
            <w:right w:val="none" w:sz="0" w:space="0" w:color="auto"/>
          </w:divBdr>
          <w:divsChild>
            <w:div w:id="1119760687">
              <w:marLeft w:val="0"/>
              <w:marRight w:val="0"/>
              <w:marTop w:val="0"/>
              <w:marBottom w:val="0"/>
              <w:divBdr>
                <w:top w:val="none" w:sz="0" w:space="0" w:color="auto"/>
                <w:left w:val="none" w:sz="0" w:space="0" w:color="auto"/>
                <w:bottom w:val="none" w:sz="0" w:space="0" w:color="auto"/>
                <w:right w:val="none" w:sz="0" w:space="0" w:color="auto"/>
              </w:divBdr>
              <w:divsChild>
                <w:div w:id="18124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9994">
      <w:bodyDiv w:val="1"/>
      <w:marLeft w:val="0"/>
      <w:marRight w:val="0"/>
      <w:marTop w:val="0"/>
      <w:marBottom w:val="0"/>
      <w:divBdr>
        <w:top w:val="none" w:sz="0" w:space="0" w:color="auto"/>
        <w:left w:val="none" w:sz="0" w:space="0" w:color="auto"/>
        <w:bottom w:val="none" w:sz="0" w:space="0" w:color="auto"/>
        <w:right w:val="none" w:sz="0" w:space="0" w:color="auto"/>
      </w:divBdr>
      <w:divsChild>
        <w:div w:id="1289049163">
          <w:marLeft w:val="0"/>
          <w:marRight w:val="0"/>
          <w:marTop w:val="0"/>
          <w:marBottom w:val="0"/>
          <w:divBdr>
            <w:top w:val="none" w:sz="0" w:space="0" w:color="auto"/>
            <w:left w:val="none" w:sz="0" w:space="0" w:color="auto"/>
            <w:bottom w:val="none" w:sz="0" w:space="0" w:color="auto"/>
            <w:right w:val="none" w:sz="0" w:space="0" w:color="auto"/>
          </w:divBdr>
          <w:divsChild>
            <w:div w:id="1618416036">
              <w:marLeft w:val="0"/>
              <w:marRight w:val="0"/>
              <w:marTop w:val="0"/>
              <w:marBottom w:val="0"/>
              <w:divBdr>
                <w:top w:val="none" w:sz="0" w:space="0" w:color="auto"/>
                <w:left w:val="none" w:sz="0" w:space="0" w:color="auto"/>
                <w:bottom w:val="none" w:sz="0" w:space="0" w:color="auto"/>
                <w:right w:val="none" w:sz="0" w:space="0" w:color="auto"/>
              </w:divBdr>
              <w:divsChild>
                <w:div w:id="14058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5315">
      <w:bodyDiv w:val="1"/>
      <w:marLeft w:val="0"/>
      <w:marRight w:val="0"/>
      <w:marTop w:val="0"/>
      <w:marBottom w:val="0"/>
      <w:divBdr>
        <w:top w:val="none" w:sz="0" w:space="0" w:color="auto"/>
        <w:left w:val="none" w:sz="0" w:space="0" w:color="auto"/>
        <w:bottom w:val="none" w:sz="0" w:space="0" w:color="auto"/>
        <w:right w:val="none" w:sz="0" w:space="0" w:color="auto"/>
      </w:divBdr>
      <w:divsChild>
        <w:div w:id="1330132414">
          <w:marLeft w:val="0"/>
          <w:marRight w:val="0"/>
          <w:marTop w:val="0"/>
          <w:marBottom w:val="0"/>
          <w:divBdr>
            <w:top w:val="none" w:sz="0" w:space="0" w:color="auto"/>
            <w:left w:val="none" w:sz="0" w:space="0" w:color="auto"/>
            <w:bottom w:val="none" w:sz="0" w:space="0" w:color="auto"/>
            <w:right w:val="none" w:sz="0" w:space="0" w:color="auto"/>
          </w:divBdr>
          <w:divsChild>
            <w:div w:id="2016151165">
              <w:marLeft w:val="0"/>
              <w:marRight w:val="0"/>
              <w:marTop w:val="0"/>
              <w:marBottom w:val="0"/>
              <w:divBdr>
                <w:top w:val="none" w:sz="0" w:space="0" w:color="auto"/>
                <w:left w:val="none" w:sz="0" w:space="0" w:color="auto"/>
                <w:bottom w:val="none" w:sz="0" w:space="0" w:color="auto"/>
                <w:right w:val="none" w:sz="0" w:space="0" w:color="auto"/>
              </w:divBdr>
              <w:divsChild>
                <w:div w:id="2035500634">
                  <w:marLeft w:val="0"/>
                  <w:marRight w:val="0"/>
                  <w:marTop w:val="0"/>
                  <w:marBottom w:val="0"/>
                  <w:divBdr>
                    <w:top w:val="none" w:sz="0" w:space="0" w:color="auto"/>
                    <w:left w:val="none" w:sz="0" w:space="0" w:color="auto"/>
                    <w:bottom w:val="none" w:sz="0" w:space="0" w:color="auto"/>
                    <w:right w:val="none" w:sz="0" w:space="0" w:color="auto"/>
                  </w:divBdr>
                </w:div>
              </w:divsChild>
            </w:div>
            <w:div w:id="639699027">
              <w:marLeft w:val="0"/>
              <w:marRight w:val="0"/>
              <w:marTop w:val="0"/>
              <w:marBottom w:val="0"/>
              <w:divBdr>
                <w:top w:val="none" w:sz="0" w:space="0" w:color="auto"/>
                <w:left w:val="none" w:sz="0" w:space="0" w:color="auto"/>
                <w:bottom w:val="none" w:sz="0" w:space="0" w:color="auto"/>
                <w:right w:val="none" w:sz="0" w:space="0" w:color="auto"/>
              </w:divBdr>
              <w:divsChild>
                <w:div w:id="88819725">
                  <w:marLeft w:val="0"/>
                  <w:marRight w:val="0"/>
                  <w:marTop w:val="0"/>
                  <w:marBottom w:val="0"/>
                  <w:divBdr>
                    <w:top w:val="none" w:sz="0" w:space="0" w:color="auto"/>
                    <w:left w:val="none" w:sz="0" w:space="0" w:color="auto"/>
                    <w:bottom w:val="none" w:sz="0" w:space="0" w:color="auto"/>
                    <w:right w:val="none" w:sz="0" w:space="0" w:color="auto"/>
                  </w:divBdr>
                </w:div>
              </w:divsChild>
            </w:div>
            <w:div w:id="969363139">
              <w:marLeft w:val="0"/>
              <w:marRight w:val="0"/>
              <w:marTop w:val="0"/>
              <w:marBottom w:val="0"/>
              <w:divBdr>
                <w:top w:val="none" w:sz="0" w:space="0" w:color="auto"/>
                <w:left w:val="none" w:sz="0" w:space="0" w:color="auto"/>
                <w:bottom w:val="none" w:sz="0" w:space="0" w:color="auto"/>
                <w:right w:val="none" w:sz="0" w:space="0" w:color="auto"/>
              </w:divBdr>
              <w:divsChild>
                <w:div w:id="1891962696">
                  <w:marLeft w:val="0"/>
                  <w:marRight w:val="0"/>
                  <w:marTop w:val="0"/>
                  <w:marBottom w:val="0"/>
                  <w:divBdr>
                    <w:top w:val="none" w:sz="0" w:space="0" w:color="auto"/>
                    <w:left w:val="none" w:sz="0" w:space="0" w:color="auto"/>
                    <w:bottom w:val="none" w:sz="0" w:space="0" w:color="auto"/>
                    <w:right w:val="none" w:sz="0" w:space="0" w:color="auto"/>
                  </w:divBdr>
                </w:div>
                <w:div w:id="1215119416">
                  <w:marLeft w:val="0"/>
                  <w:marRight w:val="0"/>
                  <w:marTop w:val="0"/>
                  <w:marBottom w:val="0"/>
                  <w:divBdr>
                    <w:top w:val="none" w:sz="0" w:space="0" w:color="auto"/>
                    <w:left w:val="none" w:sz="0" w:space="0" w:color="auto"/>
                    <w:bottom w:val="none" w:sz="0" w:space="0" w:color="auto"/>
                    <w:right w:val="none" w:sz="0" w:space="0" w:color="auto"/>
                  </w:divBdr>
                </w:div>
              </w:divsChild>
            </w:div>
            <w:div w:id="1710032098">
              <w:marLeft w:val="0"/>
              <w:marRight w:val="0"/>
              <w:marTop w:val="0"/>
              <w:marBottom w:val="0"/>
              <w:divBdr>
                <w:top w:val="none" w:sz="0" w:space="0" w:color="auto"/>
                <w:left w:val="none" w:sz="0" w:space="0" w:color="auto"/>
                <w:bottom w:val="none" w:sz="0" w:space="0" w:color="auto"/>
                <w:right w:val="none" w:sz="0" w:space="0" w:color="auto"/>
              </w:divBdr>
              <w:divsChild>
                <w:div w:id="925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5083">
      <w:bodyDiv w:val="1"/>
      <w:marLeft w:val="0"/>
      <w:marRight w:val="0"/>
      <w:marTop w:val="0"/>
      <w:marBottom w:val="0"/>
      <w:divBdr>
        <w:top w:val="none" w:sz="0" w:space="0" w:color="auto"/>
        <w:left w:val="none" w:sz="0" w:space="0" w:color="auto"/>
        <w:bottom w:val="none" w:sz="0" w:space="0" w:color="auto"/>
        <w:right w:val="none" w:sz="0" w:space="0" w:color="auto"/>
      </w:divBdr>
      <w:divsChild>
        <w:div w:id="1435438961">
          <w:marLeft w:val="0"/>
          <w:marRight w:val="0"/>
          <w:marTop w:val="0"/>
          <w:marBottom w:val="0"/>
          <w:divBdr>
            <w:top w:val="none" w:sz="0" w:space="0" w:color="auto"/>
            <w:left w:val="none" w:sz="0" w:space="0" w:color="auto"/>
            <w:bottom w:val="none" w:sz="0" w:space="0" w:color="auto"/>
            <w:right w:val="none" w:sz="0" w:space="0" w:color="auto"/>
          </w:divBdr>
          <w:divsChild>
            <w:div w:id="1008606686">
              <w:marLeft w:val="0"/>
              <w:marRight w:val="0"/>
              <w:marTop w:val="0"/>
              <w:marBottom w:val="0"/>
              <w:divBdr>
                <w:top w:val="none" w:sz="0" w:space="0" w:color="auto"/>
                <w:left w:val="none" w:sz="0" w:space="0" w:color="auto"/>
                <w:bottom w:val="none" w:sz="0" w:space="0" w:color="auto"/>
                <w:right w:val="none" w:sz="0" w:space="0" w:color="auto"/>
              </w:divBdr>
              <w:divsChild>
                <w:div w:id="10158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1349">
      <w:bodyDiv w:val="1"/>
      <w:marLeft w:val="0"/>
      <w:marRight w:val="0"/>
      <w:marTop w:val="0"/>
      <w:marBottom w:val="0"/>
      <w:divBdr>
        <w:top w:val="none" w:sz="0" w:space="0" w:color="auto"/>
        <w:left w:val="none" w:sz="0" w:space="0" w:color="auto"/>
        <w:bottom w:val="none" w:sz="0" w:space="0" w:color="auto"/>
        <w:right w:val="none" w:sz="0" w:space="0" w:color="auto"/>
      </w:divBdr>
      <w:divsChild>
        <w:div w:id="104541457">
          <w:marLeft w:val="0"/>
          <w:marRight w:val="0"/>
          <w:marTop w:val="0"/>
          <w:marBottom w:val="0"/>
          <w:divBdr>
            <w:top w:val="none" w:sz="0" w:space="0" w:color="auto"/>
            <w:left w:val="none" w:sz="0" w:space="0" w:color="auto"/>
            <w:bottom w:val="none" w:sz="0" w:space="0" w:color="auto"/>
            <w:right w:val="none" w:sz="0" w:space="0" w:color="auto"/>
          </w:divBdr>
          <w:divsChild>
            <w:div w:id="1294825043">
              <w:marLeft w:val="0"/>
              <w:marRight w:val="0"/>
              <w:marTop w:val="0"/>
              <w:marBottom w:val="0"/>
              <w:divBdr>
                <w:top w:val="none" w:sz="0" w:space="0" w:color="auto"/>
                <w:left w:val="none" w:sz="0" w:space="0" w:color="auto"/>
                <w:bottom w:val="none" w:sz="0" w:space="0" w:color="auto"/>
                <w:right w:val="none" w:sz="0" w:space="0" w:color="auto"/>
              </w:divBdr>
              <w:divsChild>
                <w:div w:id="15112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91006">
      <w:bodyDiv w:val="1"/>
      <w:marLeft w:val="0"/>
      <w:marRight w:val="0"/>
      <w:marTop w:val="0"/>
      <w:marBottom w:val="0"/>
      <w:divBdr>
        <w:top w:val="none" w:sz="0" w:space="0" w:color="auto"/>
        <w:left w:val="none" w:sz="0" w:space="0" w:color="auto"/>
        <w:bottom w:val="none" w:sz="0" w:space="0" w:color="auto"/>
        <w:right w:val="none" w:sz="0" w:space="0" w:color="auto"/>
      </w:divBdr>
      <w:divsChild>
        <w:div w:id="823470870">
          <w:marLeft w:val="0"/>
          <w:marRight w:val="0"/>
          <w:marTop w:val="0"/>
          <w:marBottom w:val="0"/>
          <w:divBdr>
            <w:top w:val="none" w:sz="0" w:space="0" w:color="auto"/>
            <w:left w:val="none" w:sz="0" w:space="0" w:color="auto"/>
            <w:bottom w:val="none" w:sz="0" w:space="0" w:color="auto"/>
            <w:right w:val="none" w:sz="0" w:space="0" w:color="auto"/>
          </w:divBdr>
          <w:divsChild>
            <w:div w:id="115561852">
              <w:marLeft w:val="0"/>
              <w:marRight w:val="0"/>
              <w:marTop w:val="0"/>
              <w:marBottom w:val="0"/>
              <w:divBdr>
                <w:top w:val="none" w:sz="0" w:space="0" w:color="auto"/>
                <w:left w:val="none" w:sz="0" w:space="0" w:color="auto"/>
                <w:bottom w:val="none" w:sz="0" w:space="0" w:color="auto"/>
                <w:right w:val="none" w:sz="0" w:space="0" w:color="auto"/>
              </w:divBdr>
              <w:divsChild>
                <w:div w:id="256325479">
                  <w:marLeft w:val="0"/>
                  <w:marRight w:val="0"/>
                  <w:marTop w:val="0"/>
                  <w:marBottom w:val="0"/>
                  <w:divBdr>
                    <w:top w:val="none" w:sz="0" w:space="0" w:color="auto"/>
                    <w:left w:val="none" w:sz="0" w:space="0" w:color="auto"/>
                    <w:bottom w:val="none" w:sz="0" w:space="0" w:color="auto"/>
                    <w:right w:val="none" w:sz="0" w:space="0" w:color="auto"/>
                  </w:divBdr>
                </w:div>
              </w:divsChild>
            </w:div>
            <w:div w:id="1259020818">
              <w:marLeft w:val="0"/>
              <w:marRight w:val="0"/>
              <w:marTop w:val="0"/>
              <w:marBottom w:val="0"/>
              <w:divBdr>
                <w:top w:val="none" w:sz="0" w:space="0" w:color="auto"/>
                <w:left w:val="none" w:sz="0" w:space="0" w:color="auto"/>
                <w:bottom w:val="none" w:sz="0" w:space="0" w:color="auto"/>
                <w:right w:val="none" w:sz="0" w:space="0" w:color="auto"/>
              </w:divBdr>
              <w:divsChild>
                <w:div w:id="3467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2504</Words>
  <Characters>14279</Characters>
  <Application>Microsoft Office Word</Application>
  <DocSecurity>0</DocSecurity>
  <Lines>118</Lines>
  <Paragraphs>33</Paragraphs>
  <ScaleCrop>false</ScaleCrop>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Nallo</dc:creator>
  <cp:keywords/>
  <dc:description/>
  <cp:lastModifiedBy>Alessandro Di Nallo</cp:lastModifiedBy>
  <cp:revision>5</cp:revision>
  <dcterms:created xsi:type="dcterms:W3CDTF">2022-10-30T18:01:00Z</dcterms:created>
  <dcterms:modified xsi:type="dcterms:W3CDTF">2022-10-31T15:14:00Z</dcterms:modified>
</cp:coreProperties>
</file>