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BrokerFlow - Documento 1</w:t>
      </w:r>
    </w:p>
    <w:p>
      <w:pPr>
        <w:pStyle w:val="Heading2"/>
      </w:pPr>
      <w:r>
        <w:t>Visione e Filosofia del Progetto</w:t>
      </w:r>
    </w:p>
    <w:p>
      <w:pPr>
        <w:pStyle w:val="Heading2"/>
      </w:pPr>
      <w:r>
        <w:t>Scopo</w:t>
      </w:r>
    </w:p>
    <w:p>
      <w:r>
        <w:rPr>
          <w:sz w:val="22"/>
        </w:rPr>
        <w:t>BrokerFlow è una piattaforma di supporto decisionale per mediatori del credito. Centralizza listini e policy bancarie e suggerisce gli istituti compatibili con il profilo del cliente.</w:t>
      </w:r>
    </w:p>
    <w:p>
      <w:pPr>
        <w:pStyle w:val="Heading2"/>
      </w:pPr>
      <w:r>
        <w:t>Problema</w:t>
      </w:r>
    </w:p>
    <w:p>
      <w:r>
        <w:rPr>
          <w:sz w:val="22"/>
        </w:rPr>
        <w:t>Ridurre il tempo di analisi e uniformare regole provenienti da banche differenti.</w:t>
      </w:r>
    </w:p>
    <w:p>
      <w:pPr>
        <w:pStyle w:val="Heading2"/>
      </w:pPr>
      <w:r>
        <w:t>Obiettivi</w:t>
      </w:r>
    </w:p>
    <w:p>
      <w:r>
        <w:rPr>
          <w:sz w:val="22"/>
        </w:rPr>
        <w:t>Raccolta dati cliente; calcolo reddito indicativo; verifica policy; selezione banche; confronto prodotti; storico listini.</w:t>
      </w:r>
    </w:p>
    <w:p>
      <w:pPr>
        <w:pStyle w:val="Heading2"/>
      </w:pPr>
      <w:r>
        <w:t>Esclusioni</w:t>
      </w:r>
    </w:p>
    <w:p>
      <w:r>
        <w:rPr>
          <w:sz w:val="22"/>
        </w:rPr>
        <w:t>Non invia pratiche alle banche, non sostituisce il broker, non usa AI per decidere.</w:t>
      </w:r>
    </w:p>
    <w:p>
      <w:pPr>
        <w:pStyle w:val="Heading2"/>
      </w:pPr>
      <w:r>
        <w:t>Principi</w:t>
      </w:r>
    </w:p>
    <w:p>
      <w:r>
        <w:rPr>
          <w:sz w:val="22"/>
        </w:rPr>
        <w:t>Motore deterministico; JSON interno; Excel per manutenzione; parser PDF indipendente; separazione listini/policy; motori modulari.</w:t>
      </w:r>
    </w:p>
    <w:p>
      <w:pPr>
        <w:pStyle w:val="Heading2"/>
      </w:pPr>
      <w:r>
        <w:t>Attori</w:t>
      </w:r>
    </w:p>
    <w:p>
      <w:r>
        <w:rPr>
          <w:sz w:val="22"/>
        </w:rPr>
        <w:t>Broker, Responsabile, Amministratore, Configuratore.</w:t>
      </w:r>
    </w:p>
    <w:p>
      <w:pPr>
        <w:pStyle w:val="Heading2"/>
      </w:pPr>
      <w:r>
        <w:t>Workflow</w:t>
      </w:r>
    </w:p>
    <w:p>
      <w:r>
        <w:rPr>
          <w:sz w:val="22"/>
        </w:rPr>
        <w:t>Cliente → Redditi → Immobile → Analisi → Banche → Prodotto → Report.</w:t>
      </w:r>
    </w:p>
    <w:p>
      <w:pPr>
        <w:pStyle w:val="Heading2"/>
      </w:pPr>
      <w:r>
        <w:t>Decisioni</w:t>
      </w:r>
    </w:p>
    <w:p>
      <w:r>
        <w:rPr>
          <w:sz w:val="22"/>
        </w:rPr>
        <w:t>Schema JSON unico; versionamento listini; salvataggio automatico; configurazione banche senza modificare il codice.</w:t>
      </w:r>
    </w:p>
    <w:p>
      <w:pPr>
        <w:pStyle w:val="Heading2"/>
      </w:pPr>
      <w:r>
        <w:t>Glossario</w:t>
      </w:r>
    </w:p>
    <w:p>
      <w:r>
        <w:rPr>
          <w:sz w:val="22"/>
        </w:rPr>
        <w:t>Listino, Policy, Motore Strategico, Motore Reddituale, Motore Bancario.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